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DFF610" w14:textId="42B64BBB" w:rsidR="00E81978" w:rsidRPr="004A7B87" w:rsidRDefault="001F62AA">
      <w:pPr>
        <w:pStyle w:val="Title"/>
        <w:rPr>
          <w:b/>
          <w:bCs/>
        </w:rPr>
      </w:pPr>
      <w:sdt>
        <w:sdtPr>
          <w:rPr>
            <w:b/>
            <w:bCs/>
          </w:rPr>
          <w:alias w:val="Title:"/>
          <w:tag w:val="Title:"/>
          <w:id w:val="726351117"/>
          <w:placeholder>
            <w:docPart w:val="F9613A47982C1948B8D5FACA0CE163EA"/>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0F72A0">
            <w:rPr>
              <w:b/>
              <w:bCs/>
            </w:rPr>
            <w:br/>
          </w:r>
          <w:r w:rsidR="000F72A0">
            <w:rPr>
              <w:b/>
              <w:bCs/>
            </w:rPr>
            <w:br/>
          </w:r>
          <w:r w:rsidR="000F72A0">
            <w:rPr>
              <w:b/>
              <w:bCs/>
            </w:rPr>
            <w:br/>
            <w:t>Benchmark</w:t>
          </w:r>
        </w:sdtContent>
      </w:sdt>
    </w:p>
    <w:p w14:paraId="418D733C" w14:textId="4677850E" w:rsidR="000F72A0" w:rsidRDefault="000F72A0" w:rsidP="00B823AA">
      <w:pPr>
        <w:pStyle w:val="Title2"/>
      </w:pPr>
      <w:r>
        <w:t>Developmental Analysis</w:t>
      </w:r>
    </w:p>
    <w:p w14:paraId="36EFCD9B" w14:textId="294B1C67" w:rsidR="00B823AA" w:rsidRDefault="004A7B87" w:rsidP="00B823AA">
      <w:pPr>
        <w:pStyle w:val="Title2"/>
      </w:pPr>
      <w:r>
        <w:t>Jarrett Medford</w:t>
      </w:r>
    </w:p>
    <w:p w14:paraId="28AF8EA6" w14:textId="2B76E559" w:rsidR="00E81978" w:rsidRDefault="004A7B87" w:rsidP="00B823AA">
      <w:pPr>
        <w:pStyle w:val="Title2"/>
      </w:pPr>
      <w:r>
        <w:t>Liberty University Online</w:t>
      </w:r>
    </w:p>
    <w:p w14:paraId="0B493F28" w14:textId="4A28C379" w:rsidR="00EB7DFD" w:rsidRDefault="00EB7DFD" w:rsidP="00B823AA">
      <w:pPr>
        <w:pStyle w:val="Title2"/>
      </w:pPr>
      <w:r>
        <w:t>COUC 502: Human Growth and Development</w:t>
      </w:r>
    </w:p>
    <w:p w14:paraId="18DFDE90" w14:textId="2FA30F23" w:rsidR="00EB7DFD" w:rsidRDefault="00EB7DFD" w:rsidP="00B823AA">
      <w:pPr>
        <w:pStyle w:val="Title2"/>
      </w:pPr>
      <w:r>
        <w:t>Dr. Hema Davis</w:t>
      </w:r>
    </w:p>
    <w:p w14:paraId="1D888F61" w14:textId="58F32A5B" w:rsidR="00EB7DFD" w:rsidRDefault="00EB7DFD" w:rsidP="00B823AA">
      <w:pPr>
        <w:pStyle w:val="Title2"/>
      </w:pPr>
      <w:r>
        <w:t>November 7, 2021</w:t>
      </w:r>
    </w:p>
    <w:p w14:paraId="720039E3" w14:textId="584D3426" w:rsidR="00E81978" w:rsidRDefault="00E81978">
      <w:pPr>
        <w:pStyle w:val="Title"/>
      </w:pPr>
    </w:p>
    <w:p w14:paraId="0DB9B387" w14:textId="2B98BAD0" w:rsidR="00E81978" w:rsidRDefault="00E81978" w:rsidP="00B823AA">
      <w:pPr>
        <w:pStyle w:val="Title2"/>
      </w:pPr>
    </w:p>
    <w:sdt>
      <w:sdtPr>
        <w:alias w:val="Abstract:"/>
        <w:tag w:val="Abstract:"/>
        <w:id w:val="202146031"/>
        <w:placeholder>
          <w:docPart w:val="07E94AB32DF30441929780F358A044DF"/>
        </w:placeholder>
        <w:temporary/>
        <w:showingPlcHdr/>
        <w15:appearance w15:val="hidden"/>
      </w:sdtPr>
      <w:sdtEndPr/>
      <w:sdtContent>
        <w:p w14:paraId="2828F179" w14:textId="77777777" w:rsidR="00E81978" w:rsidRDefault="005D3A03">
          <w:pPr>
            <w:pStyle w:val="SectionTitle"/>
          </w:pPr>
          <w:r>
            <w:t>Abstract</w:t>
          </w:r>
        </w:p>
      </w:sdtContent>
    </w:sdt>
    <w:p w14:paraId="1FA12D35" w14:textId="7E59B359" w:rsidR="00E81978" w:rsidRDefault="009E207F" w:rsidP="00F13063">
      <w:pPr>
        <w:ind w:firstLine="0"/>
      </w:pPr>
      <w:r>
        <w:tab/>
        <w:t xml:space="preserve">Jarrett Medford’s developmental analysis contain elements from infancy, toddlerhood, middle childhood, early adolescence and late adolescence. Elements of Erik Erikson’s eight stages of development are used to point out turning points in development and shifts in motivations and direction. Social and emotional development throughout each stage of life are unpacked. Family dynamics and co-parenting grandparents influence Jarrett’s developmental years in infancy and toddlerhood. Environmental impacts throughout each stage of life have a proven impact on development through family, school and work. Some transition periods of moving homes results in some changes in independence. Attachment styles are revealed in early childhood years as well. The growing family and the addition of a sibling changes the dynamic of the family. Different sources of relationships beyond family including school, work, and church allow for growth and changes in social skills. Some trauma events play a key role in development as an individual. Transitions and high stress periods lead to new independence in late adolescence. </w:t>
      </w:r>
    </w:p>
    <w:p w14:paraId="05500441" w14:textId="0F9FAEA5" w:rsidR="00E81978" w:rsidRDefault="001F62AA">
      <w:pPr>
        <w:pStyle w:val="SectionTitle"/>
      </w:pPr>
      <w:sdt>
        <w:sdtPr>
          <w:alias w:val="Section title:"/>
          <w:tag w:val="Section title:"/>
          <w:id w:val="984196707"/>
          <w:placeholder>
            <w:docPart w:val="4259EFEE4791CC4AA087E8FD744C98FC"/>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0F72A0">
            <w:br/>
          </w:r>
          <w:r w:rsidR="000F72A0">
            <w:br/>
          </w:r>
          <w:r w:rsidR="000F72A0">
            <w:br/>
            <w:t>Benchmark</w:t>
          </w:r>
        </w:sdtContent>
      </w:sdt>
    </w:p>
    <w:p w14:paraId="69BFD55A" w14:textId="14D1F8EF" w:rsidR="00E81978" w:rsidRDefault="009B5F5F">
      <w:r>
        <w:t xml:space="preserve">Jarrett is currently a 21-year-old male residing in Lynchburg, Virginia. Graduated college and has entered the workforce and is continuing his education online for Graduate school. </w:t>
      </w:r>
    </w:p>
    <w:p w14:paraId="7F68D02F" w14:textId="57F46133" w:rsidR="00E81978" w:rsidRDefault="00407B99">
      <w:pPr>
        <w:pStyle w:val="Heading1"/>
      </w:pPr>
      <w:r>
        <w:t>Prenatal Development and Infancy</w:t>
      </w:r>
    </w:p>
    <w:p w14:paraId="5541CBED" w14:textId="2FC4C28D" w:rsidR="00407B99" w:rsidRDefault="00407B99" w:rsidP="00407B99">
      <w:pPr>
        <w:ind w:firstLine="0"/>
        <w:rPr>
          <w:b/>
          <w:bCs/>
        </w:rPr>
      </w:pPr>
      <w:r>
        <w:rPr>
          <w:b/>
          <w:bCs/>
        </w:rPr>
        <w:t>Pregnancy and Family</w:t>
      </w:r>
    </w:p>
    <w:p w14:paraId="5162CD92" w14:textId="77777777" w:rsidR="00F37452" w:rsidRDefault="00A01023" w:rsidP="00407B99">
      <w:pPr>
        <w:ind w:firstLine="0"/>
      </w:pPr>
      <w:r>
        <w:rPr>
          <w:b/>
          <w:bCs/>
        </w:rPr>
        <w:tab/>
      </w:r>
      <w:r>
        <w:t>Jarrett Medford was born to two married parents in their early twenties. Both parents worked full-time and were in the lower-middle income bracket. Pregnancy was uneventful and Jarrett</w:t>
      </w:r>
      <w:r w:rsidR="00F37452">
        <w:t xml:space="preserve"> was born 7 pounds and six ounces and stayed an extra night at the hospital to run some tests but Jarrett was healthy and no developmental or physical abnormalities. </w:t>
      </w:r>
    </w:p>
    <w:p w14:paraId="2A6859F0" w14:textId="11F358FC" w:rsidR="00A01023" w:rsidRDefault="00F37452" w:rsidP="00F37452">
      <w:r>
        <w:t xml:space="preserve">Since both parents worked full-time, both grandmothers of Jarrett were the daily childcare once Jarrett’s mom returned to work. </w:t>
      </w:r>
      <w:r w:rsidR="00255CC7">
        <w:t>Jarrett did not attend center-based care until the age of 2 and only attended a few days of the week and was cared by grandparents the other days of the week. Parents wanted Jarrett to attend center-based care so he could have some social interactions besides adults. Jarrett was the first grandchild in the family so there were no other family members his age.</w:t>
      </w:r>
    </w:p>
    <w:p w14:paraId="3FA969DA" w14:textId="70D5F34D" w:rsidR="00922F8B" w:rsidRPr="00A01023" w:rsidRDefault="00922F8B" w:rsidP="00F37452">
      <w:r>
        <w:t>Jarrett</w:t>
      </w:r>
      <w:r w:rsidR="00FB470A">
        <w:t xml:space="preserve">’s parents turned to co-sleeping, which is when an </w:t>
      </w:r>
      <w:r w:rsidR="000A12E6">
        <w:t>infant sleep</w:t>
      </w:r>
      <w:r w:rsidR="00FB470A">
        <w:t xml:space="preserve"> in the </w:t>
      </w:r>
      <w:r w:rsidR="000A12E6">
        <w:t>parents’</w:t>
      </w:r>
      <w:r w:rsidR="00FB470A">
        <w:t xml:space="preserve"> bed. Generally, American families have children moved into another room after 6 months of age if they choose to co-sleep the first few months of the infant’s life (Shimizu &amp; Teti, 2018). </w:t>
      </w:r>
      <w:r w:rsidR="000A12E6">
        <w:t xml:space="preserve">Jarrett co-slept until he was beyond the crib stage and his parents had purchased a bed which he was comfortable sleeping in. </w:t>
      </w:r>
    </w:p>
    <w:p w14:paraId="0AE7D2FA" w14:textId="0A3A6E09" w:rsidR="00E57328" w:rsidRDefault="00E57328" w:rsidP="00407B99">
      <w:pPr>
        <w:ind w:firstLine="0"/>
        <w:rPr>
          <w:b/>
          <w:bCs/>
        </w:rPr>
      </w:pPr>
      <w:r>
        <w:rPr>
          <w:b/>
          <w:bCs/>
        </w:rPr>
        <w:lastRenderedPageBreak/>
        <w:t>Social and Emotional Development</w:t>
      </w:r>
    </w:p>
    <w:p w14:paraId="7E9C104E" w14:textId="601117E0" w:rsidR="00255CC7" w:rsidRPr="00255CC7" w:rsidRDefault="00255CC7" w:rsidP="00407B99">
      <w:pPr>
        <w:ind w:firstLine="0"/>
      </w:pPr>
      <w:r>
        <w:tab/>
        <w:t xml:space="preserve">There are pros and cons to being cared for by grandparents in Jarrett’s own home rather than starting center-based care earlier. Research has shown that children raised by grandparents perform better at naming object and retaining information but score lower on problem solving (Narea et. al., 2020). There was a lot of </w:t>
      </w:r>
      <w:r w:rsidR="00F43677">
        <w:t>one-on-one</w:t>
      </w:r>
      <w:r>
        <w:t xml:space="preserve"> learning time at home with grandparents with learning</w:t>
      </w:r>
      <w:r w:rsidR="00F43677">
        <w:t xml:space="preserve">. However, Jarrett was hesitant as an infant with other adults and had to adjust to center-based care because he was not accustomed to having to interact and solve his own problems. At that age it would be sharing with another child or making decisions on what to eat when given two options. </w:t>
      </w:r>
    </w:p>
    <w:p w14:paraId="69C7BE92" w14:textId="54B1E7BB" w:rsidR="00DE14E2" w:rsidRDefault="00DE14E2" w:rsidP="00DE14E2">
      <w:pPr>
        <w:ind w:firstLine="0"/>
        <w:jc w:val="center"/>
        <w:rPr>
          <w:b/>
          <w:bCs/>
        </w:rPr>
      </w:pPr>
      <w:r>
        <w:rPr>
          <w:b/>
          <w:bCs/>
        </w:rPr>
        <w:t>Toddlerhood</w:t>
      </w:r>
    </w:p>
    <w:p w14:paraId="4813C3F4" w14:textId="0ACDD80D" w:rsidR="00DE14E2" w:rsidRDefault="00DE14E2" w:rsidP="00DE14E2">
      <w:pPr>
        <w:ind w:firstLine="0"/>
        <w:rPr>
          <w:b/>
          <w:bCs/>
        </w:rPr>
      </w:pPr>
      <w:r>
        <w:rPr>
          <w:b/>
          <w:bCs/>
        </w:rPr>
        <w:t>Preschool/Social Skills</w:t>
      </w:r>
    </w:p>
    <w:p w14:paraId="15E61EE0" w14:textId="15FBE886" w:rsidR="00F43677" w:rsidRDefault="00F43677" w:rsidP="00DE14E2">
      <w:pPr>
        <w:ind w:firstLine="0"/>
      </w:pPr>
      <w:r>
        <w:tab/>
        <w:t xml:space="preserve">After some adjustment in center-based care Jarrett </w:t>
      </w:r>
      <w:r w:rsidR="00EC2A93">
        <w:t xml:space="preserve">gained better social skills. He was not excited to go to center-based care but he did not resist when it was time to go to day care. Furthermore, there was </w:t>
      </w:r>
      <w:r w:rsidR="0024161B">
        <w:t xml:space="preserve">still some growth socially for Jarrett. Jarrett was developing well with speaking and saying new words at a normal growth rate developmentally. </w:t>
      </w:r>
    </w:p>
    <w:p w14:paraId="7C140BBB" w14:textId="2B79C0D2" w:rsidR="0024161B" w:rsidRPr="00F43677" w:rsidRDefault="0024161B" w:rsidP="00DE14E2">
      <w:pPr>
        <w:ind w:firstLine="0"/>
      </w:pPr>
      <w:r>
        <w:tab/>
        <w:t>This is Erikson’s stage of development</w:t>
      </w:r>
      <w:r w:rsidR="00056C7F">
        <w:t xml:space="preserve">, autonomy versus shame and doubt (Wong et. al., 2015). This is the stage where a toddler gains more of a sense of independence. Jarrett no longer needed to be carried into day care but Jarrett walked himself into day care. He realized he was an independent person and could make decisions on his own separate from his mother. </w:t>
      </w:r>
    </w:p>
    <w:p w14:paraId="7A58740B" w14:textId="77777777" w:rsidR="00056C7F" w:rsidRDefault="00DE14E2" w:rsidP="00DE14E2">
      <w:pPr>
        <w:ind w:firstLine="0"/>
        <w:rPr>
          <w:b/>
          <w:bCs/>
        </w:rPr>
      </w:pPr>
      <w:r>
        <w:rPr>
          <w:b/>
          <w:bCs/>
        </w:rPr>
        <w:t>A</w:t>
      </w:r>
      <w:r w:rsidR="00056C7F">
        <w:rPr>
          <w:b/>
          <w:bCs/>
        </w:rPr>
        <w:t>ttachment</w:t>
      </w:r>
    </w:p>
    <w:p w14:paraId="4AC5392C" w14:textId="057A76B8" w:rsidR="00DE14E2" w:rsidRDefault="00DE14E2" w:rsidP="00DE14E2">
      <w:pPr>
        <w:ind w:firstLine="0"/>
      </w:pPr>
      <w:r>
        <w:rPr>
          <w:b/>
          <w:bCs/>
        </w:rPr>
        <w:t xml:space="preserve"> </w:t>
      </w:r>
      <w:r w:rsidR="00056C7F">
        <w:rPr>
          <w:b/>
          <w:bCs/>
        </w:rPr>
        <w:tab/>
      </w:r>
      <w:r w:rsidR="00DA321F">
        <w:t xml:space="preserve">Jarrett was showing his attachment style in the toddlerhood stage. He was avoidant in his attachment and often entertained himself, was not very vocal and more likely to explore his environment on his own (Zimmer-Gembeck, 2015). </w:t>
      </w:r>
      <w:r w:rsidR="00F54269">
        <w:t xml:space="preserve">Jarrett spent extended periods alone in his </w:t>
      </w:r>
      <w:r w:rsidR="00F54269">
        <w:lastRenderedPageBreak/>
        <w:t xml:space="preserve">room or in the backyard and was only vocal when he needed to be. </w:t>
      </w:r>
      <w:r w:rsidR="00FB470A">
        <w:t xml:space="preserve">Jarrett lacked peers for the first 2 years of his life so he was accustomed to being alone and occupying himself on his own. </w:t>
      </w:r>
    </w:p>
    <w:p w14:paraId="46291748" w14:textId="39B425AD" w:rsidR="00815125" w:rsidRPr="00DA321F" w:rsidRDefault="00815125" w:rsidP="00DE14E2">
      <w:pPr>
        <w:ind w:firstLine="0"/>
      </w:pPr>
      <w:r>
        <w:tab/>
        <w:t xml:space="preserve">A change in family structure also changed when Jarrett was 4 years old his brother was born. The pregnancy was high-risk and the Jarrett’s sibling continued to need constant attention of his parents for many years. This made Jarrett gain more independence and further fed into the avoidant attachment style. Jarrett operated on his own for many tasks since </w:t>
      </w:r>
      <w:r w:rsidR="0086026C">
        <w:t xml:space="preserve">his parents needed to take care of his sibling. </w:t>
      </w:r>
    </w:p>
    <w:p w14:paraId="4BD14094" w14:textId="2ABE1A1B" w:rsidR="00DE14E2" w:rsidRDefault="00DE14E2" w:rsidP="00DE14E2">
      <w:pPr>
        <w:ind w:firstLine="0"/>
        <w:rPr>
          <w:b/>
          <w:bCs/>
        </w:rPr>
      </w:pPr>
      <w:r>
        <w:rPr>
          <w:b/>
          <w:bCs/>
        </w:rPr>
        <w:t>Discipline</w:t>
      </w:r>
    </w:p>
    <w:p w14:paraId="59FC37CD" w14:textId="038F4DC1" w:rsidR="00FB470A" w:rsidRPr="00FB470A" w:rsidRDefault="00FB470A" w:rsidP="00DE14E2">
      <w:pPr>
        <w:ind w:firstLine="0"/>
      </w:pPr>
      <w:r>
        <w:tab/>
        <w:t xml:space="preserve">Jarrett was not very defiant. Physical discipline was not used on him more than a simple pinch if his behavior was out of line. He had a healthy authoritative relationship with his parents at a young age. He did not fear them hurting him for doing something wrong, he responded well to a simple no and only took a few affirmations to fix a behavior. </w:t>
      </w:r>
    </w:p>
    <w:p w14:paraId="4AA8BCE9" w14:textId="2BA699DD" w:rsidR="00DE14E2" w:rsidRDefault="00DE14E2" w:rsidP="00DE14E2">
      <w:pPr>
        <w:ind w:firstLine="0"/>
        <w:rPr>
          <w:b/>
          <w:bCs/>
        </w:rPr>
      </w:pPr>
      <w:r>
        <w:rPr>
          <w:b/>
          <w:bCs/>
        </w:rPr>
        <w:t>Habits/Technology</w:t>
      </w:r>
    </w:p>
    <w:p w14:paraId="31698854" w14:textId="451037EB" w:rsidR="00FB470A" w:rsidRPr="00FB470A" w:rsidRDefault="00FB470A" w:rsidP="00DE14E2">
      <w:pPr>
        <w:ind w:firstLine="0"/>
      </w:pPr>
      <w:r>
        <w:rPr>
          <w:b/>
          <w:bCs/>
        </w:rPr>
        <w:tab/>
      </w:r>
      <w:r>
        <w:t xml:space="preserve">Since Jarrett spent long periods of time at home while his parents worked, the television was a large part of his life. He would watch television every night so that he could fall asleep to it being on. This disrupted sleep whenever Jarrett traveled because there would be no television to fall asleep to. It is proven that children who spend long periods watching television have unhealthy diets and </w:t>
      </w:r>
      <w:r w:rsidR="00640446">
        <w:t xml:space="preserve">more anxiety (Stiglic &amp; Viner, 2018). It was less noticeable at the time but into later years of childhood Jarrett experienced high frequencies of anxiety symptoms into middle adulthood. </w:t>
      </w:r>
      <w:r w:rsidR="00B91E63">
        <w:t xml:space="preserve">Jarrett was not obese by any means but his diet was unhealthy and consisted of waffles and pop tarts most meals. </w:t>
      </w:r>
    </w:p>
    <w:p w14:paraId="2B3B4030" w14:textId="0E8E55B3" w:rsidR="00815125" w:rsidRPr="00815125" w:rsidRDefault="00DE14E2" w:rsidP="00815125">
      <w:pPr>
        <w:ind w:firstLine="0"/>
        <w:jc w:val="center"/>
        <w:rPr>
          <w:b/>
          <w:bCs/>
        </w:rPr>
      </w:pPr>
      <w:r>
        <w:rPr>
          <w:b/>
          <w:bCs/>
        </w:rPr>
        <w:t>Middle Childhood</w:t>
      </w:r>
    </w:p>
    <w:p w14:paraId="14906DC0" w14:textId="339B944E" w:rsidR="007222E8" w:rsidRDefault="00DE14E2" w:rsidP="00DE14E2">
      <w:pPr>
        <w:ind w:firstLine="0"/>
        <w:rPr>
          <w:b/>
          <w:bCs/>
        </w:rPr>
      </w:pPr>
      <w:r>
        <w:rPr>
          <w:b/>
          <w:bCs/>
        </w:rPr>
        <w:t>Social Development</w:t>
      </w:r>
    </w:p>
    <w:p w14:paraId="2F32A240" w14:textId="243CB66F" w:rsidR="00B91E63" w:rsidRDefault="00B91E63" w:rsidP="00DE14E2">
      <w:pPr>
        <w:ind w:firstLine="0"/>
      </w:pPr>
      <w:r>
        <w:lastRenderedPageBreak/>
        <w:tab/>
        <w:t>Jarrett began attending a public school in Yorktown, Virginia starting in Kindergarten. He was quiet and the teacher described Jarrett was needed to be “brought out of his shell.” He was not social with other students. Some level of social anxiety was present</w:t>
      </w:r>
      <w:r w:rsidR="008A063E">
        <w:t xml:space="preserve">. With some teacher intervention with Jarrett’s parents there was an attitude shift and for a short period Jarrett acted out in class with some meltdowns and acting out incidents such as cutting his own hair during class. Teacher used behavioral strategies negative reinforcement by taking away recess time </w:t>
      </w:r>
      <w:r w:rsidR="00666B58">
        <w:t xml:space="preserve">as a consequence for the negative behavior and the negative behaviors were brought near to extinction. </w:t>
      </w:r>
    </w:p>
    <w:p w14:paraId="482F7838" w14:textId="3228AF90" w:rsidR="00666B58" w:rsidRPr="00B91E63" w:rsidRDefault="00666B58" w:rsidP="00DE14E2">
      <w:pPr>
        <w:ind w:firstLine="0"/>
      </w:pPr>
      <w:r>
        <w:tab/>
        <w:t>The public-school Jarrett attended was diverse ethnically and socioeconomically. Bullying was less given the interracial environment. Jarrett learned how to interact with peers of different backgrounds. Jarrett moved to a new school he attended for 4</w:t>
      </w:r>
      <w:r w:rsidRPr="00666B58">
        <w:rPr>
          <w:vertAlign w:val="superscript"/>
        </w:rPr>
        <w:t>th</w:t>
      </w:r>
      <w:r>
        <w:t xml:space="preserve"> and 5</w:t>
      </w:r>
      <w:r w:rsidRPr="00666B58">
        <w:rPr>
          <w:vertAlign w:val="superscript"/>
        </w:rPr>
        <w:t>th</w:t>
      </w:r>
      <w:r>
        <w:t xml:space="preserve"> grades. The new school was an intraracial environment and Jarrett experienced higher rates of bullying. The middle and high school Jarrett attended were in areas with higher rates of poverty and crime. These four schools were all different from each other so Jarrett learned how to be dynamic and be able to interact with all demographics he was exposed to. </w:t>
      </w:r>
    </w:p>
    <w:p w14:paraId="4F2040FC" w14:textId="5DE403D9" w:rsidR="007222E8" w:rsidRDefault="00DE14E2" w:rsidP="00DE14E2">
      <w:pPr>
        <w:ind w:firstLine="0"/>
        <w:rPr>
          <w:b/>
          <w:bCs/>
        </w:rPr>
      </w:pPr>
      <w:r>
        <w:rPr>
          <w:b/>
          <w:bCs/>
        </w:rPr>
        <w:t>Moving/Displacement</w:t>
      </w:r>
    </w:p>
    <w:p w14:paraId="0F748230" w14:textId="217EFFFC" w:rsidR="005D2CED" w:rsidRPr="005D2CED" w:rsidRDefault="005D2CED" w:rsidP="00DE14E2">
      <w:pPr>
        <w:ind w:firstLine="0"/>
      </w:pPr>
      <w:r>
        <w:tab/>
        <w:t xml:space="preserve">When Jarrett was 8 years old his house was sold by his parents with the next home situation not figured out. Jarrett’s family moved into his grandma’s home which was a high stress living situation for the parents. </w:t>
      </w:r>
      <w:r w:rsidR="00342932">
        <w:t xml:space="preserve">Followed by living in a trailer temporarily before settling in a house again. </w:t>
      </w:r>
      <w:r>
        <w:t>When parents experience high levels of stress from finances</w:t>
      </w:r>
      <w:r w:rsidR="00342932">
        <w:t xml:space="preserve"> and </w:t>
      </w:r>
      <w:r>
        <w:t>living situation</w:t>
      </w:r>
      <w:r w:rsidR="00342932">
        <w:t xml:space="preserve"> their parenting style may alter to a more authoritarian style and pay less attention to the relationship with the child (Garcia et. al., 2017). This stress was felt by Jarrett and felt detached </w:t>
      </w:r>
      <w:r w:rsidR="00342932">
        <w:lastRenderedPageBreak/>
        <w:t xml:space="preserve">from his parents during this period of time. These events furthered his avoidant attachment style behaviors. </w:t>
      </w:r>
    </w:p>
    <w:p w14:paraId="771BF043" w14:textId="202F1E4C" w:rsidR="007222E8" w:rsidRDefault="007222E8" w:rsidP="00DE14E2">
      <w:pPr>
        <w:ind w:firstLine="0"/>
        <w:rPr>
          <w:b/>
          <w:bCs/>
        </w:rPr>
      </w:pPr>
      <w:r>
        <w:rPr>
          <w:b/>
          <w:bCs/>
        </w:rPr>
        <w:t>Reading Issues</w:t>
      </w:r>
    </w:p>
    <w:p w14:paraId="4AAA027B" w14:textId="7E3C14CD" w:rsidR="00342932" w:rsidRPr="00342932" w:rsidRDefault="00342932" w:rsidP="00DE14E2">
      <w:pPr>
        <w:ind w:firstLine="0"/>
      </w:pPr>
      <w:r>
        <w:tab/>
        <w:t>Once Jarrett moved to a new elementary school, a teacher noticed Jarrett had been behind in language arts and lacked proper reading comprehension skills for his age. This could be a result of his parents not being able to help with homework because of frequent moving and the stress put onto Jarrett during that period. After spending one school year with a reading specialist at his school he was able to catch back up with the 4</w:t>
      </w:r>
      <w:r w:rsidRPr="00342932">
        <w:rPr>
          <w:vertAlign w:val="superscript"/>
        </w:rPr>
        <w:t>th</w:t>
      </w:r>
      <w:r>
        <w:t xml:space="preserve"> grade level of language arts he needed to meet. </w:t>
      </w:r>
    </w:p>
    <w:p w14:paraId="64433404" w14:textId="5817EBA7" w:rsidR="00DE14E2" w:rsidRDefault="00DE14E2" w:rsidP="00DE14E2">
      <w:pPr>
        <w:ind w:firstLine="0"/>
        <w:jc w:val="center"/>
        <w:rPr>
          <w:b/>
          <w:bCs/>
        </w:rPr>
      </w:pPr>
      <w:r>
        <w:rPr>
          <w:b/>
          <w:bCs/>
        </w:rPr>
        <w:t>Early Adolescence</w:t>
      </w:r>
    </w:p>
    <w:p w14:paraId="7536853B" w14:textId="75935B36" w:rsidR="007222E8" w:rsidRDefault="007222E8" w:rsidP="007222E8">
      <w:pPr>
        <w:ind w:firstLine="0"/>
        <w:rPr>
          <w:b/>
          <w:bCs/>
        </w:rPr>
      </w:pPr>
      <w:r>
        <w:rPr>
          <w:b/>
          <w:bCs/>
        </w:rPr>
        <w:t>Mental Health/Crisis</w:t>
      </w:r>
    </w:p>
    <w:p w14:paraId="311F0ADF" w14:textId="789F2CEF" w:rsidR="00142E86" w:rsidRPr="00142E86" w:rsidRDefault="00142E86" w:rsidP="007222E8">
      <w:pPr>
        <w:ind w:firstLine="0"/>
      </w:pPr>
      <w:r>
        <w:tab/>
      </w:r>
      <w:r w:rsidR="00575C35">
        <w:t xml:space="preserve">During early adolescent years Jarrett experienced multiple traumatic events. </w:t>
      </w:r>
      <w:r w:rsidR="00EB1D08">
        <w:t xml:space="preserve">The schools Jarrett attended experienced an upwards of 8 lockdowns and one being because a close-call school shooting. School personnel and parents play a role in guiding the child through </w:t>
      </w:r>
      <w:r w:rsidR="002715AE">
        <w:t>processing traumatic events such as lockdowns</w:t>
      </w:r>
      <w:r w:rsidR="003C4607">
        <w:t xml:space="preserve"> and mediate impact of the event (Pozzulo &amp; Bennell, 2018)</w:t>
      </w:r>
      <w:r w:rsidR="002715AE">
        <w:t>. Jarrett’s school and parents did not have conversations with him about these incidents. Students who are exposed to these events can develop symptoms of Acute Stress Disorder</w:t>
      </w:r>
      <w:r w:rsidR="003C4607">
        <w:t xml:space="preserve"> and Post-Traumatic Stress Disorder (Pozzulo &amp; Bennell, 2018). Jarrett did develop some symptoms of Acute Stress Disorder. Including anxiety while inside his school the incidents occurred in</w:t>
      </w:r>
      <w:r w:rsidR="00871219">
        <w:t xml:space="preserve"> and in other school settings in the future. </w:t>
      </w:r>
    </w:p>
    <w:p w14:paraId="7FC5C156" w14:textId="0D8BB2A8" w:rsidR="007222E8" w:rsidRDefault="007222E8" w:rsidP="007222E8">
      <w:pPr>
        <w:ind w:firstLine="0"/>
        <w:rPr>
          <w:b/>
          <w:bCs/>
        </w:rPr>
      </w:pPr>
      <w:r>
        <w:rPr>
          <w:b/>
          <w:bCs/>
        </w:rPr>
        <w:t>Social Development</w:t>
      </w:r>
    </w:p>
    <w:p w14:paraId="435184D0" w14:textId="3830D181" w:rsidR="00871219" w:rsidRDefault="00871219" w:rsidP="007222E8">
      <w:pPr>
        <w:ind w:firstLine="0"/>
      </w:pPr>
      <w:r>
        <w:rPr>
          <w:b/>
          <w:bCs/>
        </w:rPr>
        <w:tab/>
      </w:r>
      <w:r>
        <w:t xml:space="preserve">In middle and high school Jarrett participated in Cross Country, Indoor Track and Outdoor Track for a total of 5 years. Jarrett become one of the captains of the teams. This </w:t>
      </w:r>
      <w:r>
        <w:lastRenderedPageBreak/>
        <w:t xml:space="preserve">leadership stretched his social skills by being placed in a leadership position. The position allowed Jarrett to </w:t>
      </w:r>
      <w:r w:rsidR="00815125">
        <w:t xml:space="preserve">form stronger relationships and bonds with others. </w:t>
      </w:r>
    </w:p>
    <w:p w14:paraId="43E21C9A" w14:textId="068D4E9C" w:rsidR="00815125" w:rsidRDefault="00815125" w:rsidP="007222E8">
      <w:pPr>
        <w:ind w:firstLine="0"/>
      </w:pPr>
      <w:r>
        <w:tab/>
        <w:t xml:space="preserve">Another turning point event that changed Jarrett’s social skills was when his coach of 4 years passed away suddenly. Jarrett was able to form strong relationships while going through the stages of grief with his peers. </w:t>
      </w:r>
    </w:p>
    <w:p w14:paraId="760D723D" w14:textId="44568AFE" w:rsidR="00687B39" w:rsidRPr="00871219" w:rsidRDefault="00687B39" w:rsidP="007222E8">
      <w:pPr>
        <w:ind w:firstLine="0"/>
      </w:pPr>
      <w:r>
        <w:tab/>
        <w:t xml:space="preserve">Jarrett </w:t>
      </w:r>
      <w:r w:rsidR="004E3A40">
        <w:t xml:space="preserve">began attending church around the age of 16 and formed new deeper relationships. Jarrett had no problem creating friendships but </w:t>
      </w:r>
      <w:r w:rsidR="001B7191">
        <w:t xml:space="preserve">the relationships never had a close bond. Church community and spiritual connected relationships result in higher rates of well-being and less anxiety amongst young people (Yonker, Schnabelraunch &amp; DeHaan, 2011). While Jarrett was going through the transitions from high school to moving away to college these Christian relationships allowed for the transition to be smoother and the stress and anxiety of the transition to be easier. </w:t>
      </w:r>
    </w:p>
    <w:p w14:paraId="22E99A45" w14:textId="1C1995D6" w:rsidR="007222E8" w:rsidRDefault="007222E8" w:rsidP="007222E8">
      <w:pPr>
        <w:ind w:firstLine="0"/>
        <w:jc w:val="center"/>
        <w:rPr>
          <w:b/>
          <w:bCs/>
        </w:rPr>
      </w:pPr>
      <w:r>
        <w:rPr>
          <w:b/>
          <w:bCs/>
        </w:rPr>
        <w:t>Late Adolescence</w:t>
      </w:r>
    </w:p>
    <w:p w14:paraId="4DDEC1EB" w14:textId="20183059" w:rsidR="007222E8" w:rsidRDefault="007222E8" w:rsidP="007222E8">
      <w:pPr>
        <w:ind w:firstLine="0"/>
        <w:rPr>
          <w:b/>
          <w:bCs/>
        </w:rPr>
      </w:pPr>
      <w:r>
        <w:rPr>
          <w:b/>
          <w:bCs/>
        </w:rPr>
        <w:t>Academic Transition</w:t>
      </w:r>
    </w:p>
    <w:p w14:paraId="5B0386B2" w14:textId="0DCC66BD" w:rsidR="001B7191" w:rsidRPr="001B7191" w:rsidRDefault="001B7191" w:rsidP="007222E8">
      <w:pPr>
        <w:ind w:firstLine="0"/>
      </w:pPr>
      <w:r>
        <w:tab/>
        <w:t xml:space="preserve">Jarrett moved to Lynchburg, Virginia to attend Liberty University as a first-generation college student. The transition </w:t>
      </w:r>
      <w:r w:rsidR="005E6E4F">
        <w:t xml:space="preserve">increased levels of anxiety given the stresses of entering into challenging classes, living without parents, and financially burdened by school. Lifestyle during college years is crucial to development. Unhealthy diet and sleep habits influence the well-being of a college student. If a college student does not take care of their physical health their well-being will decrease (Ridner et. al., 2016). Jarrett worked several jobs while in college including being a call center agent, teacher assistant at a preschool, cashier at staples, a caregiver for the mentally disabled and a program leader at a non-profit. At </w:t>
      </w:r>
      <w:r w:rsidR="000A12E6">
        <w:t>one-point</w:t>
      </w:r>
      <w:r w:rsidR="005E6E4F">
        <w:t xml:space="preserve"> Jarrett worked 3 jobs at once which totaled from 60-70 hours a week while attending full-time classes his senior year of </w:t>
      </w:r>
      <w:r w:rsidR="005E6E4F">
        <w:lastRenderedPageBreak/>
        <w:t>college. He also took a heavy course load to graduate in 3 years so that the financial burden would be less. His well-being was affected by the level of work and schoolwork. There was little time for physical health. This resulted in higher levels of anxiety but also higher levels of independence given the responsibility taken on as a college student.</w:t>
      </w:r>
    </w:p>
    <w:p w14:paraId="1C95FE46" w14:textId="1941CB7A" w:rsidR="007222E8" w:rsidRDefault="007222E8" w:rsidP="007222E8">
      <w:pPr>
        <w:ind w:firstLine="0"/>
        <w:rPr>
          <w:b/>
          <w:bCs/>
        </w:rPr>
      </w:pPr>
      <w:r>
        <w:rPr>
          <w:b/>
          <w:bCs/>
        </w:rPr>
        <w:t>Relationships</w:t>
      </w:r>
    </w:p>
    <w:p w14:paraId="0C27BFE5" w14:textId="03A74AAC" w:rsidR="009932A5" w:rsidRDefault="009932A5" w:rsidP="007222E8">
      <w:pPr>
        <w:ind w:firstLine="0"/>
      </w:pPr>
      <w:r>
        <w:rPr>
          <w:b/>
          <w:bCs/>
        </w:rPr>
        <w:tab/>
      </w:r>
      <w:r>
        <w:t xml:space="preserve">While at Liberty University, Jarrett volunteered on campus as a Community Group Leader and was able to build relationships with those in his dorm and around campus. He made connections with a diverse student population from all over the world. This allowed for a wider worldview given his interactions with others. </w:t>
      </w:r>
    </w:p>
    <w:p w14:paraId="43E8494E" w14:textId="34E656A0" w:rsidR="009932A5" w:rsidRPr="009932A5" w:rsidRDefault="009932A5" w:rsidP="007222E8">
      <w:pPr>
        <w:ind w:firstLine="0"/>
      </w:pPr>
      <w:r>
        <w:tab/>
        <w:t xml:space="preserve">Jarrett has a serious relationship with a girlfriend for 14 months. During this stage of life is Erikson’s intimacy versus isolation stage. The relationship ended before engagement or marriage could occur. This allowed </w:t>
      </w:r>
      <w:r w:rsidR="00BA1EB5">
        <w:t xml:space="preserve">for some self-growth and discovery of self. Intimacy became less important and isolation became the direction of development. Isolation included growth and allowed Jarrett to direct himself toward new paths in his life. Jarrett did not have solid goals and after ending the intimate relationship he was able to focus on </w:t>
      </w:r>
      <w:r w:rsidR="00A93B62">
        <w:t xml:space="preserve">accomplishing the goals he was now able to set for himself. </w:t>
      </w:r>
    </w:p>
    <w:p w14:paraId="7B67B535" w14:textId="039614E4" w:rsidR="007222E8" w:rsidRDefault="007222E8" w:rsidP="007222E8">
      <w:pPr>
        <w:ind w:firstLine="0"/>
        <w:rPr>
          <w:b/>
          <w:bCs/>
        </w:rPr>
      </w:pPr>
      <w:r>
        <w:rPr>
          <w:b/>
          <w:bCs/>
        </w:rPr>
        <w:t>Career Development</w:t>
      </w:r>
    </w:p>
    <w:p w14:paraId="2FAC1D5C" w14:textId="17ACDB0E" w:rsidR="00A93B62" w:rsidRPr="00A93B62" w:rsidRDefault="00A93B62" w:rsidP="007222E8">
      <w:pPr>
        <w:ind w:firstLine="0"/>
      </w:pPr>
      <w:r>
        <w:tab/>
        <w:t xml:space="preserve">Entering college, Jarrett knew he wanted to go into the field of counseling. He was not sure the setting he wanted to work in. He sought to find out his skills during this period of his personal development. He worked in several inner-city settings with at-risk youth and adults. He discovered a passion for youth and counseling in the inner city. Jarrett decided that he wanted to pursue school counseling to carry the skills he had built while working in college into a more professional context. </w:t>
      </w:r>
    </w:p>
    <w:p w14:paraId="62EEE4E9" w14:textId="41177306" w:rsidR="007222E8" w:rsidRDefault="007222E8" w:rsidP="007222E8">
      <w:pPr>
        <w:ind w:firstLine="0"/>
        <w:rPr>
          <w:b/>
          <w:bCs/>
        </w:rPr>
      </w:pPr>
      <w:r>
        <w:rPr>
          <w:b/>
          <w:bCs/>
        </w:rPr>
        <w:lastRenderedPageBreak/>
        <w:t>Moving Out</w:t>
      </w:r>
    </w:p>
    <w:p w14:paraId="0D02CD6D" w14:textId="456AA0D1" w:rsidR="007222E8" w:rsidRPr="00ED595B" w:rsidRDefault="00ED595B" w:rsidP="007222E8">
      <w:pPr>
        <w:ind w:firstLine="0"/>
      </w:pPr>
      <w:r>
        <w:tab/>
        <w:t xml:space="preserve">After graduating college right after turning 21, Jarrett chose to not re-nest with his parents in Yorktown, Virginia. He chose to stay in Lynchburg, Virginia and work full-time. Jarrett had gained a high sense of independence and did not wish to move back in with his parents. Jarrett took a summer and worked part time after graduating because of the level of burn out he had experienced. </w:t>
      </w:r>
      <w:r w:rsidR="00EB490C">
        <w:t xml:space="preserve">Burn out is common among college students and young adults entering the workforce and burn out can influence the quality and expertise a person may have in their profession which can be seen in the first few years in the workforce after college (Robins, Roberts &amp; Sarris, 2017). </w:t>
      </w:r>
      <w:r w:rsidR="00DB05D5">
        <w:t xml:space="preserve">While working only part time over the summer after graduating college Jarrett was able to rest before starting work in August of the same year at a public elementary school as a full-time teacher assistant. The rest prevented exhaustion and preservation of mental health in an attempt to prevent events of burn out in the future. Lots of growth is expected to happen in the next few years of full-time work in the school system. </w:t>
      </w:r>
    </w:p>
    <w:p w14:paraId="39E17AC1" w14:textId="77777777" w:rsidR="00DE14E2" w:rsidRDefault="00DE14E2" w:rsidP="00DE14E2">
      <w:pPr>
        <w:ind w:firstLine="0"/>
        <w:rPr>
          <w:b/>
          <w:bCs/>
        </w:rPr>
      </w:pPr>
    </w:p>
    <w:p w14:paraId="56E5A6B3" w14:textId="77777777" w:rsidR="00DE14E2" w:rsidRPr="00407B99" w:rsidRDefault="00DE14E2" w:rsidP="00DE14E2">
      <w:pPr>
        <w:ind w:firstLine="0"/>
        <w:jc w:val="center"/>
        <w:rPr>
          <w:b/>
          <w:bCs/>
        </w:rPr>
      </w:pPr>
    </w:p>
    <w:sdt>
      <w:sdtPr>
        <w:rPr>
          <w:rFonts w:ascii="Times New Roman" w:eastAsiaTheme="minorEastAsia" w:hAnsi="Times New Roman" w:cs="Times New Roman"/>
        </w:rPr>
        <w:id w:val="62297111"/>
        <w:docPartObj>
          <w:docPartGallery w:val="Bibliographies"/>
          <w:docPartUnique/>
        </w:docPartObj>
      </w:sdtPr>
      <w:sdtEndPr/>
      <w:sdtContent>
        <w:p w14:paraId="60BEA2D4" w14:textId="77777777" w:rsidR="00E81978" w:rsidRPr="00E84AB4" w:rsidRDefault="005D3A03" w:rsidP="00E84AB4">
          <w:pPr>
            <w:pStyle w:val="SectionTitle"/>
            <w:rPr>
              <w:rFonts w:ascii="Times New Roman" w:hAnsi="Times New Roman" w:cs="Times New Roman"/>
            </w:rPr>
          </w:pPr>
          <w:r w:rsidRPr="00E84AB4">
            <w:rPr>
              <w:rFonts w:ascii="Times New Roman" w:hAnsi="Times New Roman" w:cs="Times New Roman"/>
            </w:rPr>
            <w:t>References</w:t>
          </w:r>
        </w:p>
        <w:p w14:paraId="1C518246" w14:textId="5E9C2CEC" w:rsidR="00591AB7" w:rsidRPr="00E84AB4" w:rsidRDefault="00591AB7" w:rsidP="00E84AB4">
          <w:pPr>
            <w:spacing w:before="100" w:beforeAutospacing="1" w:after="100" w:afterAutospacing="1"/>
            <w:ind w:left="567" w:hanging="567"/>
            <w:rPr>
              <w:rFonts w:ascii="Times New Roman" w:eastAsia="Times New Roman" w:hAnsi="Times New Roman" w:cs="Times New Roman"/>
              <w:kern w:val="0"/>
              <w:lang w:eastAsia="en-US"/>
            </w:rPr>
          </w:pPr>
          <w:r w:rsidRPr="00591AB7">
            <w:rPr>
              <w:rFonts w:ascii="Times New Roman" w:eastAsia="Times New Roman" w:hAnsi="Times New Roman" w:cs="Times New Roman"/>
              <w:kern w:val="0"/>
              <w:lang w:eastAsia="en-US"/>
            </w:rPr>
            <w:t xml:space="preserve">Aileen S. Garcia, Lixin Ren, Jan M. Esteraich, &amp; Helen H. Raikes. (2017). Influence of child behavioral problems and parenting stress on parent–child conflict among low-income families: The moderating role of maternal nativity. </w:t>
          </w:r>
          <w:r w:rsidRPr="00591AB7">
            <w:rPr>
              <w:rFonts w:ascii="Times New Roman" w:eastAsia="Times New Roman" w:hAnsi="Times New Roman" w:cs="Times New Roman"/>
              <w:i/>
              <w:iCs/>
              <w:kern w:val="0"/>
              <w:lang w:eastAsia="en-US"/>
            </w:rPr>
            <w:t>Merrill-Palmer Quarterly</w:t>
          </w:r>
          <w:r w:rsidRPr="00591AB7">
            <w:rPr>
              <w:rFonts w:ascii="Times New Roman" w:eastAsia="Times New Roman" w:hAnsi="Times New Roman" w:cs="Times New Roman"/>
              <w:kern w:val="0"/>
              <w:lang w:eastAsia="en-US"/>
            </w:rPr>
            <w:t xml:space="preserve">, </w:t>
          </w:r>
          <w:r w:rsidRPr="00591AB7">
            <w:rPr>
              <w:rFonts w:ascii="Times New Roman" w:eastAsia="Times New Roman" w:hAnsi="Times New Roman" w:cs="Times New Roman"/>
              <w:i/>
              <w:iCs/>
              <w:kern w:val="0"/>
              <w:lang w:eastAsia="en-US"/>
            </w:rPr>
            <w:t>63</w:t>
          </w:r>
          <w:r w:rsidRPr="00591AB7">
            <w:rPr>
              <w:rFonts w:ascii="Times New Roman" w:eastAsia="Times New Roman" w:hAnsi="Times New Roman" w:cs="Times New Roman"/>
              <w:kern w:val="0"/>
              <w:lang w:eastAsia="en-US"/>
            </w:rPr>
            <w:t xml:space="preserve">(3), 311. https://doi.org/10.13110/merrpalmquar1982.63.3.0311 </w:t>
          </w:r>
        </w:p>
        <w:p w14:paraId="09BCDB5D" w14:textId="12EF0B3E" w:rsidR="00591AB7" w:rsidRPr="00E84AB4" w:rsidRDefault="00591AB7" w:rsidP="00E84AB4">
          <w:pPr>
            <w:pStyle w:val="NormalWeb"/>
            <w:ind w:left="567" w:hanging="567"/>
          </w:pPr>
          <w:r w:rsidRPr="00E84AB4">
            <w:t xml:space="preserve">Narea, M., Toppelberg, C. O., Irarrázaval, M., &amp; Xu, J. (2020). Maternal and non-maternal care in infancy and later child cognitive, language and motor development in Chile: Does type of care matter? </w:t>
          </w:r>
          <w:r w:rsidRPr="00E84AB4">
            <w:rPr>
              <w:i/>
              <w:iCs/>
            </w:rPr>
            <w:t>Early Childhood Research Quarterly</w:t>
          </w:r>
          <w:r w:rsidRPr="00E84AB4">
            <w:t xml:space="preserve">, </w:t>
          </w:r>
          <w:r w:rsidRPr="00E84AB4">
            <w:rPr>
              <w:i/>
              <w:iCs/>
            </w:rPr>
            <w:t>51</w:t>
          </w:r>
          <w:r w:rsidRPr="00E84AB4">
            <w:t xml:space="preserve">, 204–214. https://doi.org/10.1016/j.ecresq.2019.10.010 </w:t>
          </w:r>
        </w:p>
        <w:p w14:paraId="249D9002" w14:textId="66CCB47E" w:rsidR="00591AB7" w:rsidRPr="00E84AB4" w:rsidRDefault="00591AB7" w:rsidP="00E84AB4">
          <w:pPr>
            <w:shd w:val="clear" w:color="auto" w:fill="FFFFFF"/>
            <w:ind w:left="720" w:hanging="720"/>
            <w:rPr>
              <w:rFonts w:ascii="Times New Roman" w:eastAsia="Times New Roman" w:hAnsi="Times New Roman" w:cs="Times New Roman"/>
              <w:color w:val="000000"/>
              <w:kern w:val="0"/>
              <w:lang w:eastAsia="en-US"/>
            </w:rPr>
          </w:pPr>
          <w:r w:rsidRPr="00591AB7">
            <w:rPr>
              <w:rFonts w:ascii="Times New Roman" w:eastAsia="Times New Roman" w:hAnsi="Times New Roman" w:cs="Times New Roman"/>
              <w:color w:val="000000"/>
              <w:kern w:val="0"/>
              <w:lang w:eastAsia="en-US"/>
            </w:rPr>
            <w:t xml:space="preserve">Pozzulo, J., &amp; Bennell, C. (Eds.). (2018). Working with Trauma-Exposed Children and Adolescents: Evidence-Based and Age-Appropriate Practices (1st ed.). Routledge. </w:t>
          </w:r>
          <w:hyperlink r:id="rId9" w:history="1">
            <w:r w:rsidRPr="00591AB7">
              <w:rPr>
                <w:rStyle w:val="Hyperlink"/>
                <w:rFonts w:ascii="Times New Roman" w:eastAsia="Times New Roman" w:hAnsi="Times New Roman" w:cs="Times New Roman"/>
                <w:kern w:val="0"/>
                <w:lang w:eastAsia="en-US"/>
              </w:rPr>
              <w:t>https://doi-org.ezproxy.liberty.edu/10.4324/9780429423017</w:t>
            </w:r>
          </w:hyperlink>
        </w:p>
        <w:p w14:paraId="1BD6AE4F" w14:textId="0B14F29A" w:rsidR="00591AB7" w:rsidRPr="00591AB7" w:rsidRDefault="00591AB7" w:rsidP="00E84AB4">
          <w:pPr>
            <w:spacing w:before="100" w:beforeAutospacing="1" w:after="100" w:afterAutospacing="1"/>
            <w:ind w:left="567" w:hanging="567"/>
            <w:rPr>
              <w:rFonts w:ascii="Times New Roman" w:eastAsia="Times New Roman" w:hAnsi="Times New Roman" w:cs="Times New Roman"/>
              <w:kern w:val="0"/>
              <w:lang w:eastAsia="en-US"/>
            </w:rPr>
          </w:pPr>
          <w:r w:rsidRPr="00591AB7">
            <w:rPr>
              <w:rFonts w:ascii="Times New Roman" w:eastAsia="Times New Roman" w:hAnsi="Times New Roman" w:cs="Times New Roman"/>
              <w:kern w:val="0"/>
              <w:lang w:eastAsia="en-US"/>
            </w:rPr>
            <w:t xml:space="preserve">Robins, T. G., Roberts, R. M., &amp; Sarris, A. (2017). The role of Student Burnout in predicting future burnout: Exploring the transition from university to the Workplace. </w:t>
          </w:r>
          <w:r w:rsidRPr="00591AB7">
            <w:rPr>
              <w:rFonts w:ascii="Times New Roman" w:eastAsia="Times New Roman" w:hAnsi="Times New Roman" w:cs="Times New Roman"/>
              <w:i/>
              <w:iCs/>
              <w:kern w:val="0"/>
              <w:lang w:eastAsia="en-US"/>
            </w:rPr>
            <w:t>Higher Education Research &amp; Development</w:t>
          </w:r>
          <w:r w:rsidRPr="00591AB7">
            <w:rPr>
              <w:rFonts w:ascii="Times New Roman" w:eastAsia="Times New Roman" w:hAnsi="Times New Roman" w:cs="Times New Roman"/>
              <w:kern w:val="0"/>
              <w:lang w:eastAsia="en-US"/>
            </w:rPr>
            <w:t xml:space="preserve">, </w:t>
          </w:r>
          <w:r w:rsidRPr="00591AB7">
            <w:rPr>
              <w:rFonts w:ascii="Times New Roman" w:eastAsia="Times New Roman" w:hAnsi="Times New Roman" w:cs="Times New Roman"/>
              <w:i/>
              <w:iCs/>
              <w:kern w:val="0"/>
              <w:lang w:eastAsia="en-US"/>
            </w:rPr>
            <w:t>37</w:t>
          </w:r>
          <w:r w:rsidRPr="00591AB7">
            <w:rPr>
              <w:rFonts w:ascii="Times New Roman" w:eastAsia="Times New Roman" w:hAnsi="Times New Roman" w:cs="Times New Roman"/>
              <w:kern w:val="0"/>
              <w:lang w:eastAsia="en-US"/>
            </w:rPr>
            <w:t xml:space="preserve">(1), 115–130. https://doi.org/10.1080/07294360.2017.1344827 </w:t>
          </w:r>
        </w:p>
        <w:p w14:paraId="778F0F0E" w14:textId="562176DB" w:rsidR="00591AB7" w:rsidRPr="00E84AB4" w:rsidRDefault="00591AB7" w:rsidP="00E84AB4">
          <w:pPr>
            <w:shd w:val="clear" w:color="auto" w:fill="FFFFFF"/>
            <w:ind w:firstLine="0"/>
            <w:jc w:val="right"/>
            <w:rPr>
              <w:rFonts w:ascii="Times New Roman" w:eastAsia="Times New Roman" w:hAnsi="Times New Roman" w:cs="Times New Roman"/>
              <w:color w:val="000000"/>
              <w:kern w:val="0"/>
              <w:lang w:eastAsia="en-US"/>
            </w:rPr>
          </w:pPr>
        </w:p>
        <w:p w14:paraId="2381AFEE" w14:textId="482576C7" w:rsidR="00591AB7" w:rsidRPr="00E84AB4" w:rsidRDefault="00591AB7" w:rsidP="00E84AB4">
          <w:pPr>
            <w:spacing w:before="100" w:beforeAutospacing="1" w:after="100" w:afterAutospacing="1"/>
            <w:ind w:left="567" w:hanging="567"/>
            <w:rPr>
              <w:rFonts w:ascii="Times New Roman" w:eastAsia="Times New Roman" w:hAnsi="Times New Roman" w:cs="Times New Roman"/>
              <w:kern w:val="0"/>
              <w:lang w:eastAsia="en-US"/>
            </w:rPr>
          </w:pPr>
          <w:r w:rsidRPr="00591AB7">
            <w:rPr>
              <w:rFonts w:ascii="Times New Roman" w:eastAsia="Times New Roman" w:hAnsi="Times New Roman" w:cs="Times New Roman"/>
              <w:kern w:val="0"/>
              <w:lang w:eastAsia="en-US"/>
            </w:rPr>
            <w:t xml:space="preserve">Shimizu, M., &amp; Teti, D. M. (2018). Infant sleeping arrangements, social criticism, and maternal distress in the first year. </w:t>
          </w:r>
          <w:r w:rsidRPr="00591AB7">
            <w:rPr>
              <w:rFonts w:ascii="Times New Roman" w:eastAsia="Times New Roman" w:hAnsi="Times New Roman" w:cs="Times New Roman"/>
              <w:i/>
              <w:iCs/>
              <w:kern w:val="0"/>
              <w:lang w:eastAsia="en-US"/>
            </w:rPr>
            <w:t>Infant and Child Development</w:t>
          </w:r>
          <w:r w:rsidRPr="00591AB7">
            <w:rPr>
              <w:rFonts w:ascii="Times New Roman" w:eastAsia="Times New Roman" w:hAnsi="Times New Roman" w:cs="Times New Roman"/>
              <w:kern w:val="0"/>
              <w:lang w:eastAsia="en-US"/>
            </w:rPr>
            <w:t xml:space="preserve">, </w:t>
          </w:r>
          <w:r w:rsidRPr="00591AB7">
            <w:rPr>
              <w:rFonts w:ascii="Times New Roman" w:eastAsia="Times New Roman" w:hAnsi="Times New Roman" w:cs="Times New Roman"/>
              <w:i/>
              <w:iCs/>
              <w:kern w:val="0"/>
              <w:lang w:eastAsia="en-US"/>
            </w:rPr>
            <w:t>27</w:t>
          </w:r>
          <w:r w:rsidRPr="00591AB7">
            <w:rPr>
              <w:rFonts w:ascii="Times New Roman" w:eastAsia="Times New Roman" w:hAnsi="Times New Roman" w:cs="Times New Roman"/>
              <w:kern w:val="0"/>
              <w:lang w:eastAsia="en-US"/>
            </w:rPr>
            <w:t xml:space="preserve">(3). https://doi.org/10.1002/icd.2080 </w:t>
          </w:r>
        </w:p>
        <w:p w14:paraId="7E5B0D78" w14:textId="3DABB76A" w:rsidR="00591AB7" w:rsidRPr="00E84AB4" w:rsidRDefault="00591AB7" w:rsidP="00E84AB4">
          <w:pPr>
            <w:spacing w:before="100" w:beforeAutospacing="1" w:after="100" w:afterAutospacing="1"/>
            <w:ind w:left="567" w:hanging="567"/>
            <w:rPr>
              <w:rFonts w:ascii="Times New Roman" w:eastAsia="Times New Roman" w:hAnsi="Times New Roman" w:cs="Times New Roman"/>
              <w:kern w:val="0"/>
              <w:lang w:eastAsia="en-US"/>
            </w:rPr>
          </w:pPr>
          <w:r w:rsidRPr="00591AB7">
            <w:rPr>
              <w:rFonts w:ascii="Times New Roman" w:eastAsia="Times New Roman" w:hAnsi="Times New Roman" w:cs="Times New Roman"/>
              <w:kern w:val="0"/>
              <w:lang w:eastAsia="en-US"/>
            </w:rPr>
            <w:lastRenderedPageBreak/>
            <w:t xml:space="preserve">Stiglic, N., &amp; Viner, R. M. (2019). Effects of screentime on the health and well-being of children and adolescents: A systematic review of reviews. </w:t>
          </w:r>
          <w:r w:rsidRPr="00591AB7">
            <w:rPr>
              <w:rFonts w:ascii="Times New Roman" w:eastAsia="Times New Roman" w:hAnsi="Times New Roman" w:cs="Times New Roman"/>
              <w:i/>
              <w:iCs/>
              <w:kern w:val="0"/>
              <w:lang w:eastAsia="en-US"/>
            </w:rPr>
            <w:t>BMJ Open</w:t>
          </w:r>
          <w:r w:rsidRPr="00591AB7">
            <w:rPr>
              <w:rFonts w:ascii="Times New Roman" w:eastAsia="Times New Roman" w:hAnsi="Times New Roman" w:cs="Times New Roman"/>
              <w:kern w:val="0"/>
              <w:lang w:eastAsia="en-US"/>
            </w:rPr>
            <w:t xml:space="preserve">, </w:t>
          </w:r>
          <w:r w:rsidRPr="00591AB7">
            <w:rPr>
              <w:rFonts w:ascii="Times New Roman" w:eastAsia="Times New Roman" w:hAnsi="Times New Roman" w:cs="Times New Roman"/>
              <w:i/>
              <w:iCs/>
              <w:kern w:val="0"/>
              <w:lang w:eastAsia="en-US"/>
            </w:rPr>
            <w:t>9</w:t>
          </w:r>
          <w:r w:rsidRPr="00591AB7">
            <w:rPr>
              <w:rFonts w:ascii="Times New Roman" w:eastAsia="Times New Roman" w:hAnsi="Times New Roman" w:cs="Times New Roman"/>
              <w:kern w:val="0"/>
              <w:lang w:eastAsia="en-US"/>
            </w:rPr>
            <w:t xml:space="preserve">(1). https://doi.org/10.1136/bmjopen-2018-023191 </w:t>
          </w:r>
        </w:p>
        <w:p w14:paraId="7FA8438E" w14:textId="7616BFE5" w:rsidR="00591AB7" w:rsidRPr="00E84AB4" w:rsidRDefault="00591AB7" w:rsidP="00E84AB4">
          <w:pPr>
            <w:spacing w:before="100" w:beforeAutospacing="1" w:after="100" w:afterAutospacing="1"/>
            <w:ind w:left="567" w:hanging="567"/>
            <w:rPr>
              <w:rFonts w:ascii="Times New Roman" w:eastAsia="Times New Roman" w:hAnsi="Times New Roman" w:cs="Times New Roman"/>
              <w:kern w:val="0"/>
              <w:lang w:eastAsia="en-US"/>
            </w:rPr>
          </w:pPr>
          <w:r w:rsidRPr="00591AB7">
            <w:rPr>
              <w:rFonts w:ascii="Times New Roman" w:eastAsia="Times New Roman" w:hAnsi="Times New Roman" w:cs="Times New Roman"/>
              <w:kern w:val="0"/>
              <w:lang w:eastAsia="en-US"/>
            </w:rPr>
            <w:t xml:space="preserve">Wong, D. W., Hall, K. R., Justice, C. A., &amp; Hernandez, L. W. (2015). </w:t>
          </w:r>
          <w:r w:rsidRPr="00591AB7">
            <w:rPr>
              <w:rFonts w:ascii="Times New Roman" w:eastAsia="Times New Roman" w:hAnsi="Times New Roman" w:cs="Times New Roman"/>
              <w:i/>
              <w:iCs/>
              <w:kern w:val="0"/>
              <w:lang w:eastAsia="en-US"/>
            </w:rPr>
            <w:t>Counseling individuals through the lifespan</w:t>
          </w:r>
          <w:r w:rsidRPr="00591AB7">
            <w:rPr>
              <w:rFonts w:ascii="Times New Roman" w:eastAsia="Times New Roman" w:hAnsi="Times New Roman" w:cs="Times New Roman"/>
              <w:kern w:val="0"/>
              <w:lang w:eastAsia="en-US"/>
            </w:rPr>
            <w:t xml:space="preserve">. SAGE. </w:t>
          </w:r>
        </w:p>
        <w:p w14:paraId="3CC748A9" w14:textId="5FB08844" w:rsidR="00591AB7" w:rsidRPr="00591AB7" w:rsidRDefault="00591AB7" w:rsidP="00E84AB4">
          <w:pPr>
            <w:spacing w:before="100" w:beforeAutospacing="1" w:after="100" w:afterAutospacing="1"/>
            <w:ind w:left="567" w:hanging="567"/>
            <w:rPr>
              <w:rFonts w:ascii="Times New Roman" w:eastAsia="Times New Roman" w:hAnsi="Times New Roman" w:cs="Times New Roman"/>
              <w:kern w:val="0"/>
              <w:lang w:eastAsia="en-US"/>
            </w:rPr>
          </w:pPr>
          <w:r w:rsidRPr="00591AB7">
            <w:rPr>
              <w:rFonts w:ascii="Times New Roman" w:eastAsia="Times New Roman" w:hAnsi="Times New Roman" w:cs="Times New Roman"/>
              <w:kern w:val="0"/>
              <w:lang w:eastAsia="en-US"/>
            </w:rPr>
            <w:t xml:space="preserve">Yonker, J. E., Schnabelrauch, C. A., &amp; DeHaan, L. G. (2012). The relationship between spirituality and religiosity on psychological outcomes in adolescents and emerging adults: A meta-analytic review. </w:t>
          </w:r>
          <w:r w:rsidRPr="00591AB7">
            <w:rPr>
              <w:rFonts w:ascii="Times New Roman" w:eastAsia="Times New Roman" w:hAnsi="Times New Roman" w:cs="Times New Roman"/>
              <w:i/>
              <w:iCs/>
              <w:kern w:val="0"/>
              <w:lang w:eastAsia="en-US"/>
            </w:rPr>
            <w:t>Journal of Adolescence</w:t>
          </w:r>
          <w:r w:rsidRPr="00591AB7">
            <w:rPr>
              <w:rFonts w:ascii="Times New Roman" w:eastAsia="Times New Roman" w:hAnsi="Times New Roman" w:cs="Times New Roman"/>
              <w:kern w:val="0"/>
              <w:lang w:eastAsia="en-US"/>
            </w:rPr>
            <w:t xml:space="preserve">, </w:t>
          </w:r>
          <w:r w:rsidRPr="00591AB7">
            <w:rPr>
              <w:rFonts w:ascii="Times New Roman" w:eastAsia="Times New Roman" w:hAnsi="Times New Roman" w:cs="Times New Roman"/>
              <w:i/>
              <w:iCs/>
              <w:kern w:val="0"/>
              <w:lang w:eastAsia="en-US"/>
            </w:rPr>
            <w:t>35</w:t>
          </w:r>
          <w:r w:rsidRPr="00591AB7">
            <w:rPr>
              <w:rFonts w:ascii="Times New Roman" w:eastAsia="Times New Roman" w:hAnsi="Times New Roman" w:cs="Times New Roman"/>
              <w:kern w:val="0"/>
              <w:lang w:eastAsia="en-US"/>
            </w:rPr>
            <w:t xml:space="preserve">(2), 299–314. https://doi.org/10.1016/j.adolescence.2011.08.010 </w:t>
          </w:r>
        </w:p>
        <w:p w14:paraId="38A3E954" w14:textId="77777777" w:rsidR="00591AB7" w:rsidRPr="00591AB7" w:rsidRDefault="00591AB7" w:rsidP="00E84AB4">
          <w:pPr>
            <w:spacing w:before="100" w:beforeAutospacing="1" w:after="100" w:afterAutospacing="1"/>
            <w:ind w:left="567" w:hanging="567"/>
            <w:rPr>
              <w:rFonts w:ascii="Times New Roman" w:eastAsia="Times New Roman" w:hAnsi="Times New Roman" w:cs="Times New Roman"/>
              <w:kern w:val="0"/>
              <w:lang w:eastAsia="en-US"/>
            </w:rPr>
          </w:pPr>
          <w:r w:rsidRPr="00591AB7">
            <w:rPr>
              <w:rFonts w:ascii="Times New Roman" w:eastAsia="Times New Roman" w:hAnsi="Times New Roman" w:cs="Times New Roman"/>
              <w:kern w:val="0"/>
              <w:lang w:eastAsia="en-US"/>
            </w:rPr>
            <w:t xml:space="preserve">Zimmer-Gembeck, M. J., Webb, H. J., Pepping, C. A., Swan, K., Merlo, O., Skinner, E. A., Avdagic, E., &amp; Dunbar, M. (2016). Review. </w:t>
          </w:r>
          <w:r w:rsidRPr="00591AB7">
            <w:rPr>
              <w:rFonts w:ascii="Times New Roman" w:eastAsia="Times New Roman" w:hAnsi="Times New Roman" w:cs="Times New Roman"/>
              <w:i/>
              <w:iCs/>
              <w:kern w:val="0"/>
              <w:lang w:eastAsia="en-US"/>
            </w:rPr>
            <w:t>International Journal of Behavioral Development</w:t>
          </w:r>
          <w:r w:rsidRPr="00591AB7">
            <w:rPr>
              <w:rFonts w:ascii="Times New Roman" w:eastAsia="Times New Roman" w:hAnsi="Times New Roman" w:cs="Times New Roman"/>
              <w:kern w:val="0"/>
              <w:lang w:eastAsia="en-US"/>
            </w:rPr>
            <w:t xml:space="preserve">, </w:t>
          </w:r>
          <w:r w:rsidRPr="00591AB7">
            <w:rPr>
              <w:rFonts w:ascii="Times New Roman" w:eastAsia="Times New Roman" w:hAnsi="Times New Roman" w:cs="Times New Roman"/>
              <w:i/>
              <w:iCs/>
              <w:kern w:val="0"/>
              <w:lang w:eastAsia="en-US"/>
            </w:rPr>
            <w:t>41</w:t>
          </w:r>
          <w:r w:rsidRPr="00591AB7">
            <w:rPr>
              <w:rFonts w:ascii="Times New Roman" w:eastAsia="Times New Roman" w:hAnsi="Times New Roman" w:cs="Times New Roman"/>
              <w:kern w:val="0"/>
              <w:lang w:eastAsia="en-US"/>
            </w:rPr>
            <w:t xml:space="preserve">(1), 74–93. https://doi.org/10.1177/0165025415618276 </w:t>
          </w:r>
        </w:p>
        <w:p w14:paraId="604A7E71" w14:textId="77777777" w:rsidR="00591AB7" w:rsidRPr="00591AB7" w:rsidRDefault="00591AB7" w:rsidP="00E84AB4">
          <w:pPr>
            <w:spacing w:before="100" w:beforeAutospacing="1" w:after="100" w:afterAutospacing="1"/>
            <w:ind w:left="567" w:hanging="567"/>
            <w:rPr>
              <w:rFonts w:ascii="Times New Roman" w:eastAsia="Times New Roman" w:hAnsi="Times New Roman" w:cs="Times New Roman"/>
              <w:kern w:val="0"/>
              <w:lang w:eastAsia="en-US"/>
            </w:rPr>
          </w:pPr>
        </w:p>
        <w:p w14:paraId="2B159B9F" w14:textId="0DF01C52" w:rsidR="00E81978" w:rsidRDefault="001F62AA" w:rsidP="00E84AB4">
          <w:pPr>
            <w:pStyle w:val="Bibliography"/>
            <w:rPr>
              <w:rFonts w:ascii="Times New Roman" w:hAnsi="Times New Roman" w:cs="Times New Roman"/>
            </w:rPr>
          </w:pPr>
        </w:p>
      </w:sdtContent>
    </w:sdt>
    <w:p w14:paraId="00A2A37B" w14:textId="7236DC6A" w:rsidR="000F72A0" w:rsidRDefault="000F72A0">
      <w:pPr>
        <w:pStyle w:val="Title"/>
      </w:pPr>
      <w:sdt>
        <w:sdtPr>
          <w:rPr>
            <w:b/>
            <w:bCs/>
          </w:rPr>
          <w:alias w:val="Title:"/>
          <w:tag w:val="Title:"/>
          <w:id w:val="475417993"/>
          <w:placeholder>
            <w:docPart w:val="FDDF7B6CE39B184FB03DED94E234749F"/>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Content>
          <w:r>
            <w:rPr>
              <w:b/>
              <w:bCs/>
            </w:rPr>
            <w:br/>
          </w:r>
          <w:r>
            <w:rPr>
              <w:b/>
              <w:bCs/>
            </w:rPr>
            <w:br/>
          </w:r>
          <w:r>
            <w:rPr>
              <w:b/>
              <w:bCs/>
            </w:rPr>
            <w:lastRenderedPageBreak/>
            <w:br/>
            <w:t>Benchmark</w:t>
          </w:r>
        </w:sdtContent>
      </w:sdt>
    </w:p>
    <w:p w14:paraId="7A665197" w14:textId="77777777" w:rsidR="000F72A0" w:rsidRDefault="000F72A0" w:rsidP="00B823AA">
      <w:pPr>
        <w:pStyle w:val="Title2"/>
      </w:pPr>
      <w:r>
        <w:t>Trauma Development and Spirituality</w:t>
      </w:r>
    </w:p>
    <w:p w14:paraId="4254F8A1" w14:textId="77777777" w:rsidR="000F72A0" w:rsidRDefault="000F72A0" w:rsidP="00B823AA">
      <w:pPr>
        <w:pStyle w:val="Title2"/>
      </w:pPr>
      <w:r>
        <w:t>Jarrett Medford</w:t>
      </w:r>
    </w:p>
    <w:p w14:paraId="50D317B9" w14:textId="77777777" w:rsidR="000F72A0" w:rsidRDefault="000F72A0" w:rsidP="00B823AA">
      <w:pPr>
        <w:pStyle w:val="Title2"/>
      </w:pPr>
      <w:r>
        <w:t>Liberty University Online</w:t>
      </w:r>
    </w:p>
    <w:p w14:paraId="4D41E8E0" w14:textId="77777777" w:rsidR="000F72A0" w:rsidRDefault="000F72A0" w:rsidP="00B823AA">
      <w:pPr>
        <w:pStyle w:val="Title2"/>
      </w:pPr>
      <w:r>
        <w:t>COUC 502-C01</w:t>
      </w:r>
    </w:p>
    <w:p w14:paraId="748FBCF4" w14:textId="77777777" w:rsidR="000F72A0" w:rsidRDefault="000F72A0">
      <w:pPr>
        <w:pStyle w:val="Title"/>
      </w:pPr>
    </w:p>
    <w:p w14:paraId="4950C5D7" w14:textId="77777777" w:rsidR="000F72A0" w:rsidRDefault="000F72A0" w:rsidP="00B823AA">
      <w:pPr>
        <w:pStyle w:val="Title2"/>
      </w:pPr>
    </w:p>
    <w:p w14:paraId="3AC2A3D8" w14:textId="23062CCD" w:rsidR="000F72A0" w:rsidRDefault="000F72A0" w:rsidP="000F72A0">
      <w:pPr>
        <w:pStyle w:val="SectionTitle"/>
      </w:pPr>
      <w:sdt>
        <w:sdtPr>
          <w:alias w:val="Section title:"/>
          <w:tag w:val="Section title:"/>
          <w:id w:val="-397664591"/>
          <w:placeholder>
            <w:docPart w:val="62EA4A6F94239042889050E2A5E41573"/>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Content>
          <w:r>
            <w:br/>
          </w:r>
          <w:r>
            <w:br/>
          </w:r>
          <w:r>
            <w:br/>
            <w:t>Benchmark</w:t>
          </w:r>
        </w:sdtContent>
      </w:sdt>
    </w:p>
    <w:p w14:paraId="58146E08" w14:textId="77777777" w:rsidR="000F72A0" w:rsidRDefault="000F72A0" w:rsidP="00676B6D">
      <w:pPr>
        <w:rPr>
          <w:rFonts w:eastAsiaTheme="minorHAnsi"/>
          <w:kern w:val="0"/>
          <w:sz w:val="22"/>
          <w:szCs w:val="22"/>
          <w:lang w:eastAsia="en-US"/>
        </w:rPr>
      </w:pPr>
      <w:r w:rsidRPr="00676B6D">
        <w:rPr>
          <w:rFonts w:eastAsiaTheme="minorHAnsi"/>
          <w:kern w:val="0"/>
          <w:sz w:val="22"/>
          <w:szCs w:val="22"/>
          <w:lang w:eastAsia="en-US"/>
        </w:rPr>
        <w:t xml:space="preserve">I have seen an array of issues related to equal access to mental health care. I am currently employed at an elementary school where the students are 90% Black/African American. I also interact with the families in the community. I also work at a Boy’s and Girl’s Club in a predominantly Black community. I have noticed that the rates of minority peoples that have a diagnosed disorder or have experienced medium to high amounts of trauma are very high. The school counselor caseloads are also around 400 students per counselor at most of our schools. There are only seven hours in a school day, which is thirty-five hours a week. If a counselor was to meet with a student once a week the counselor would have to meet with each child 6 minutes a week, which is unrealistic. Trauma can be inherited through generations. DNA can actually </w:t>
      </w:r>
      <w:proofErr w:type="gramStart"/>
      <w:r w:rsidRPr="00676B6D">
        <w:rPr>
          <w:rFonts w:eastAsiaTheme="minorHAnsi"/>
          <w:kern w:val="0"/>
          <w:sz w:val="22"/>
          <w:szCs w:val="22"/>
          <w:lang w:eastAsia="en-US"/>
        </w:rPr>
        <w:t>been</w:t>
      </w:r>
      <w:proofErr w:type="gramEnd"/>
      <w:r w:rsidRPr="00676B6D">
        <w:rPr>
          <w:rFonts w:eastAsiaTheme="minorHAnsi"/>
          <w:kern w:val="0"/>
          <w:sz w:val="22"/>
          <w:szCs w:val="22"/>
          <w:lang w:eastAsia="en-US"/>
        </w:rPr>
        <w:t xml:space="preserve"> altered because of stress and trauma (Pederson, </w:t>
      </w:r>
      <w:proofErr w:type="spellStart"/>
      <w:r w:rsidRPr="00676B6D">
        <w:rPr>
          <w:rFonts w:eastAsiaTheme="minorHAnsi"/>
          <w:kern w:val="0"/>
          <w:sz w:val="22"/>
          <w:szCs w:val="22"/>
          <w:lang w:eastAsia="en-US"/>
        </w:rPr>
        <w:t>Nuetzman</w:t>
      </w:r>
      <w:proofErr w:type="spellEnd"/>
      <w:r w:rsidRPr="00676B6D">
        <w:rPr>
          <w:rFonts w:eastAsiaTheme="minorHAnsi"/>
          <w:kern w:val="0"/>
          <w:sz w:val="22"/>
          <w:szCs w:val="22"/>
          <w:lang w:eastAsia="en-US"/>
        </w:rPr>
        <w:t xml:space="preserve">, </w:t>
      </w:r>
      <w:proofErr w:type="spellStart"/>
      <w:r w:rsidRPr="00676B6D">
        <w:rPr>
          <w:rFonts w:eastAsiaTheme="minorHAnsi"/>
          <w:kern w:val="0"/>
          <w:sz w:val="22"/>
          <w:szCs w:val="22"/>
          <w:lang w:eastAsia="en-US"/>
        </w:rPr>
        <w:t>Gubbels</w:t>
      </w:r>
      <w:proofErr w:type="spellEnd"/>
      <w:r w:rsidRPr="00676B6D">
        <w:rPr>
          <w:rFonts w:eastAsiaTheme="minorHAnsi"/>
          <w:kern w:val="0"/>
          <w:sz w:val="22"/>
          <w:szCs w:val="22"/>
          <w:lang w:eastAsia="en-US"/>
        </w:rPr>
        <w:t xml:space="preserve"> &amp; Hummel, 2018). Through systemic racism and generational trauma, black families often have inherited trauma as well. Some counselors do not have multicultural training that educates a counselor how to navigate and treat those that have generational and inherited trauma. Being aware of generational trauma allows the counselor to guide the student to a route of healing from the historical trauma. The approach to treating minority students is to not ignore generational trauma and holistically treat both the mind and body (Pederson, </w:t>
      </w:r>
      <w:proofErr w:type="spellStart"/>
      <w:r w:rsidRPr="00676B6D">
        <w:rPr>
          <w:rFonts w:eastAsiaTheme="minorHAnsi"/>
          <w:kern w:val="0"/>
          <w:sz w:val="22"/>
          <w:szCs w:val="22"/>
          <w:lang w:eastAsia="en-US"/>
        </w:rPr>
        <w:t>Nuetzman</w:t>
      </w:r>
      <w:proofErr w:type="spellEnd"/>
      <w:r w:rsidRPr="00676B6D">
        <w:rPr>
          <w:rFonts w:eastAsiaTheme="minorHAnsi"/>
          <w:kern w:val="0"/>
          <w:sz w:val="22"/>
          <w:szCs w:val="22"/>
          <w:lang w:eastAsia="en-US"/>
        </w:rPr>
        <w:t xml:space="preserve">, </w:t>
      </w:r>
      <w:proofErr w:type="spellStart"/>
      <w:r w:rsidRPr="00676B6D">
        <w:rPr>
          <w:rFonts w:eastAsiaTheme="minorHAnsi"/>
          <w:kern w:val="0"/>
          <w:sz w:val="22"/>
          <w:szCs w:val="22"/>
          <w:lang w:eastAsia="en-US"/>
        </w:rPr>
        <w:t>Gubbels</w:t>
      </w:r>
      <w:proofErr w:type="spellEnd"/>
      <w:r w:rsidRPr="00676B6D">
        <w:rPr>
          <w:rFonts w:eastAsiaTheme="minorHAnsi"/>
          <w:kern w:val="0"/>
          <w:sz w:val="22"/>
          <w:szCs w:val="22"/>
          <w:lang w:eastAsia="en-US"/>
        </w:rPr>
        <w:t xml:space="preserve"> &amp; Hummel, 2018. The mind and body interact so much and a child’s environment is so important to development. </w:t>
      </w:r>
    </w:p>
    <w:p w14:paraId="22CE1D92" w14:textId="77777777" w:rsidR="000F72A0" w:rsidRDefault="000F72A0" w:rsidP="00676B6D">
      <w:pPr>
        <w:rPr>
          <w:rFonts w:eastAsiaTheme="minorHAnsi"/>
          <w:kern w:val="0"/>
          <w:sz w:val="22"/>
          <w:szCs w:val="22"/>
          <w:lang w:eastAsia="en-US"/>
        </w:rPr>
      </w:pPr>
      <w:r w:rsidRPr="00676B6D">
        <w:rPr>
          <w:rFonts w:eastAsiaTheme="minorHAnsi"/>
          <w:kern w:val="0"/>
          <w:sz w:val="22"/>
          <w:szCs w:val="22"/>
          <w:lang w:eastAsia="en-US"/>
        </w:rPr>
        <w:t xml:space="preserve">Resilience includes the ability to prosper after experiencing an illness or overcoming the effects of stressful events on a person’s life (Matheson, </w:t>
      </w:r>
      <w:proofErr w:type="spellStart"/>
      <w:r w:rsidRPr="00676B6D">
        <w:rPr>
          <w:rFonts w:eastAsiaTheme="minorHAnsi"/>
          <w:kern w:val="0"/>
          <w:sz w:val="22"/>
          <w:szCs w:val="22"/>
          <w:lang w:eastAsia="en-US"/>
        </w:rPr>
        <w:t>Asokumar</w:t>
      </w:r>
      <w:proofErr w:type="spellEnd"/>
      <w:r w:rsidRPr="00676B6D">
        <w:rPr>
          <w:rFonts w:eastAsiaTheme="minorHAnsi"/>
          <w:kern w:val="0"/>
          <w:sz w:val="22"/>
          <w:szCs w:val="22"/>
          <w:lang w:eastAsia="en-US"/>
        </w:rPr>
        <w:t xml:space="preserve"> &amp; </w:t>
      </w:r>
      <w:proofErr w:type="spellStart"/>
      <w:r w:rsidRPr="00676B6D">
        <w:rPr>
          <w:rFonts w:eastAsiaTheme="minorHAnsi"/>
          <w:kern w:val="0"/>
          <w:sz w:val="22"/>
          <w:szCs w:val="22"/>
          <w:lang w:eastAsia="en-US"/>
        </w:rPr>
        <w:t>Anisman</w:t>
      </w:r>
      <w:proofErr w:type="spellEnd"/>
      <w:r w:rsidRPr="00676B6D">
        <w:rPr>
          <w:rFonts w:eastAsiaTheme="minorHAnsi"/>
          <w:kern w:val="0"/>
          <w:sz w:val="22"/>
          <w:szCs w:val="22"/>
          <w:lang w:eastAsia="en-US"/>
        </w:rPr>
        <w:t xml:space="preserve">, 2020). Often trauma involves chronic inflammation that leads to disorders such as depression and anxiety. Resilience over effects such as these is how people overcome trauma. Brains that have experienced trauma endure chronic inflammation (Matheson, </w:t>
      </w:r>
      <w:proofErr w:type="spellStart"/>
      <w:r w:rsidRPr="00676B6D">
        <w:rPr>
          <w:rFonts w:eastAsiaTheme="minorHAnsi"/>
          <w:kern w:val="0"/>
          <w:sz w:val="22"/>
          <w:szCs w:val="22"/>
          <w:lang w:eastAsia="en-US"/>
        </w:rPr>
        <w:t>Asokumar</w:t>
      </w:r>
      <w:proofErr w:type="spellEnd"/>
      <w:r w:rsidRPr="00676B6D">
        <w:rPr>
          <w:rFonts w:eastAsiaTheme="minorHAnsi"/>
          <w:kern w:val="0"/>
          <w:sz w:val="22"/>
          <w:szCs w:val="22"/>
          <w:lang w:eastAsia="en-US"/>
        </w:rPr>
        <w:t xml:space="preserve"> &amp; </w:t>
      </w:r>
      <w:proofErr w:type="spellStart"/>
      <w:r w:rsidRPr="00676B6D">
        <w:rPr>
          <w:rFonts w:eastAsiaTheme="minorHAnsi"/>
          <w:kern w:val="0"/>
          <w:sz w:val="22"/>
          <w:szCs w:val="22"/>
          <w:lang w:eastAsia="en-US"/>
        </w:rPr>
        <w:t>Anisman</w:t>
      </w:r>
      <w:proofErr w:type="spellEnd"/>
      <w:r w:rsidRPr="00676B6D">
        <w:rPr>
          <w:rFonts w:eastAsiaTheme="minorHAnsi"/>
          <w:kern w:val="0"/>
          <w:sz w:val="22"/>
          <w:szCs w:val="22"/>
          <w:lang w:eastAsia="en-US"/>
        </w:rPr>
        <w:t xml:space="preserve">, 2020). Brain scans often reveal significant activity in </w:t>
      </w:r>
      <w:r w:rsidRPr="00676B6D">
        <w:rPr>
          <w:rFonts w:eastAsiaTheme="minorHAnsi"/>
          <w:kern w:val="0"/>
          <w:sz w:val="22"/>
          <w:szCs w:val="22"/>
          <w:lang w:eastAsia="en-US"/>
        </w:rPr>
        <w:lastRenderedPageBreak/>
        <w:t xml:space="preserve">brains that have experienced trauma. Many stressors endured after trauma are unpredictable and uncontrollable. The mind and body interactions affect behavior. Some minority groups only have had access to the school counselor. As previously mentioned, 6 minutes a week with a school counselor will not help change behavior and heal from trauma. The only students in my school that I know seek counseling are because the school referred them, otherwise there is little outside services. School counselors are often the only ones who directly meet with students and provide information on outside services. </w:t>
      </w:r>
    </w:p>
    <w:p w14:paraId="58513CC2" w14:textId="77777777" w:rsidR="000F72A0" w:rsidRDefault="000F72A0" w:rsidP="00676B6D">
      <w:pPr>
        <w:rPr>
          <w:rFonts w:eastAsiaTheme="minorHAnsi"/>
          <w:kern w:val="0"/>
          <w:sz w:val="22"/>
          <w:szCs w:val="22"/>
          <w:lang w:eastAsia="en-US"/>
        </w:rPr>
      </w:pPr>
      <w:r w:rsidRPr="00676B6D">
        <w:rPr>
          <w:rFonts w:eastAsiaTheme="minorHAnsi"/>
          <w:kern w:val="0"/>
          <w:sz w:val="22"/>
          <w:szCs w:val="22"/>
          <w:lang w:eastAsia="en-US"/>
        </w:rPr>
        <w:t xml:space="preserve">Adverse childhood experiences and traumatic events are not intentionally caused. Examples are family dysfunction, illnesses or natural disasters (Hamby, Taylor, Mitchell, Jones &amp; Newlin, 2019). No child chooses to be born into adverse conditions that lead to trauma. Often those who live in poverty face higher levels of trauma. 100% of my students are low-income and their families live under the poverty line. At least every student has seen or experienced one or more of the following: gun violence </w:t>
      </w:r>
      <w:proofErr w:type="gramStart"/>
      <w:r w:rsidRPr="00676B6D">
        <w:rPr>
          <w:rFonts w:eastAsiaTheme="minorHAnsi"/>
          <w:kern w:val="0"/>
          <w:sz w:val="22"/>
          <w:szCs w:val="22"/>
          <w:lang w:eastAsia="en-US"/>
        </w:rPr>
        <w:t>first hand</w:t>
      </w:r>
      <w:proofErr w:type="gramEnd"/>
      <w:r w:rsidRPr="00676B6D">
        <w:rPr>
          <w:rFonts w:eastAsiaTheme="minorHAnsi"/>
          <w:kern w:val="0"/>
          <w:sz w:val="22"/>
          <w:szCs w:val="22"/>
          <w:lang w:eastAsia="en-US"/>
        </w:rPr>
        <w:t xml:space="preserve">, has a single parent home, other missing families, food insecurity, abuse, neglect and racism. The strength and duration of the mental effects of the victimization is long-term and intense (Hamby, Taylor, Mitchell, Jones &amp; Newlin, 2019). </w:t>
      </w:r>
    </w:p>
    <w:p w14:paraId="3F94CCB2" w14:textId="77777777" w:rsidR="000F72A0" w:rsidRDefault="000F72A0" w:rsidP="00676B6D">
      <w:r w:rsidRPr="00676B6D">
        <w:rPr>
          <w:rFonts w:eastAsiaTheme="minorHAnsi"/>
          <w:kern w:val="0"/>
          <w:sz w:val="22"/>
          <w:szCs w:val="22"/>
          <w:lang w:eastAsia="en-US"/>
        </w:rPr>
        <w:t>Spirituality within the Black/African American populations is highly beneficial to healing of trauma and becoming resilient. God is believed to be a healer and can serve as an impactful and structured can assist in coping with symptoms of trauma. Spirituality can be incorporated in therapy and if a child is raised spiritual it could prove beneficial for finding resilience in the wake of trauma.</w:t>
      </w:r>
    </w:p>
    <w:sdt>
      <w:sdtPr>
        <w:rPr>
          <w:rFonts w:asciiTheme="minorHAnsi" w:eastAsiaTheme="minorEastAsia" w:hAnsiTheme="minorHAnsi" w:cstheme="minorBidi"/>
        </w:rPr>
        <w:id w:val="-1111202820"/>
        <w:docPartObj>
          <w:docPartGallery w:val="Bibliographies"/>
          <w:docPartUnique/>
        </w:docPartObj>
      </w:sdtPr>
      <w:sdtContent>
        <w:p w14:paraId="4A7DA9EC" w14:textId="77777777" w:rsidR="000F72A0" w:rsidRDefault="000F72A0">
          <w:pPr>
            <w:pStyle w:val="SectionTitle"/>
          </w:pPr>
          <w:r>
            <w:t>References</w:t>
          </w:r>
        </w:p>
        <w:p w14:paraId="51EC93BB" w14:textId="77777777" w:rsidR="000F72A0" w:rsidRPr="00FC52A1" w:rsidRDefault="000F72A0" w:rsidP="00FC52A1">
          <w:pPr>
            <w:spacing w:before="100" w:beforeAutospacing="1" w:after="100" w:afterAutospacing="1"/>
            <w:ind w:left="567" w:hanging="567"/>
            <w:rPr>
              <w:rFonts w:ascii="Times New Roman" w:eastAsia="Times New Roman" w:hAnsi="Times New Roman" w:cs="Times New Roman"/>
              <w:kern w:val="0"/>
              <w:lang w:eastAsia="en-US"/>
            </w:rPr>
          </w:pPr>
          <w:r w:rsidRPr="00FC52A1">
            <w:rPr>
              <w:rFonts w:ascii="Times New Roman" w:eastAsia="Times New Roman" w:hAnsi="Times New Roman" w:cs="Times New Roman"/>
              <w:kern w:val="0"/>
              <w:lang w:eastAsia="en-US"/>
            </w:rPr>
            <w:t xml:space="preserve">Hamby, S., Taylor, E., Mitchell, K., Jones, L., &amp; Newlin, C. (2020). Poly-victimization, trauma, and resilience: Exploring strengths that promote thriving after adversity. </w:t>
          </w:r>
          <w:r w:rsidRPr="00FC52A1">
            <w:rPr>
              <w:rFonts w:ascii="Times New Roman" w:eastAsia="Times New Roman" w:hAnsi="Times New Roman" w:cs="Times New Roman"/>
              <w:i/>
              <w:iCs/>
              <w:kern w:val="0"/>
              <w:lang w:eastAsia="en-US"/>
            </w:rPr>
            <w:t>Journal of Trauma &amp; Dissociation</w:t>
          </w:r>
          <w:r w:rsidRPr="00FC52A1">
            <w:rPr>
              <w:rFonts w:ascii="Times New Roman" w:eastAsia="Times New Roman" w:hAnsi="Times New Roman" w:cs="Times New Roman"/>
              <w:kern w:val="0"/>
              <w:lang w:eastAsia="en-US"/>
            </w:rPr>
            <w:t xml:space="preserve">, </w:t>
          </w:r>
          <w:r w:rsidRPr="00FC52A1">
            <w:rPr>
              <w:rFonts w:ascii="Times New Roman" w:eastAsia="Times New Roman" w:hAnsi="Times New Roman" w:cs="Times New Roman"/>
              <w:i/>
              <w:iCs/>
              <w:kern w:val="0"/>
              <w:lang w:eastAsia="en-US"/>
            </w:rPr>
            <w:t>21</w:t>
          </w:r>
          <w:r w:rsidRPr="00FC52A1">
            <w:rPr>
              <w:rFonts w:ascii="Times New Roman" w:eastAsia="Times New Roman" w:hAnsi="Times New Roman" w:cs="Times New Roman"/>
              <w:kern w:val="0"/>
              <w:lang w:eastAsia="en-US"/>
            </w:rPr>
            <w:t xml:space="preserve">(3), 376–395. https://doi.org/10.1080/15299732.2020.1719261 </w:t>
          </w:r>
        </w:p>
        <w:p w14:paraId="7BEC5455" w14:textId="77777777" w:rsidR="000F72A0" w:rsidRPr="00FC52A1" w:rsidRDefault="000F72A0" w:rsidP="00FC52A1">
          <w:pPr>
            <w:spacing w:before="100" w:beforeAutospacing="1" w:after="100" w:afterAutospacing="1"/>
            <w:ind w:left="567" w:hanging="567"/>
            <w:rPr>
              <w:rFonts w:ascii="Times New Roman" w:eastAsia="Times New Roman" w:hAnsi="Times New Roman" w:cs="Times New Roman"/>
              <w:kern w:val="0"/>
              <w:lang w:eastAsia="en-US"/>
            </w:rPr>
          </w:pPr>
          <w:r w:rsidRPr="00FC52A1">
            <w:rPr>
              <w:rFonts w:ascii="Times New Roman" w:eastAsia="Times New Roman" w:hAnsi="Times New Roman" w:cs="Times New Roman"/>
              <w:kern w:val="0"/>
              <w:lang w:eastAsia="en-US"/>
            </w:rPr>
            <w:t xml:space="preserve">Matheson, K., </w:t>
          </w:r>
          <w:proofErr w:type="spellStart"/>
          <w:r w:rsidRPr="00FC52A1">
            <w:rPr>
              <w:rFonts w:ascii="Times New Roman" w:eastAsia="Times New Roman" w:hAnsi="Times New Roman" w:cs="Times New Roman"/>
              <w:kern w:val="0"/>
              <w:lang w:eastAsia="en-US"/>
            </w:rPr>
            <w:t>Asokumar</w:t>
          </w:r>
          <w:proofErr w:type="spellEnd"/>
          <w:r w:rsidRPr="00FC52A1">
            <w:rPr>
              <w:rFonts w:ascii="Times New Roman" w:eastAsia="Times New Roman" w:hAnsi="Times New Roman" w:cs="Times New Roman"/>
              <w:kern w:val="0"/>
              <w:lang w:eastAsia="en-US"/>
            </w:rPr>
            <w:t xml:space="preserve">, A., &amp; </w:t>
          </w:r>
          <w:proofErr w:type="spellStart"/>
          <w:r w:rsidRPr="00FC52A1">
            <w:rPr>
              <w:rFonts w:ascii="Times New Roman" w:eastAsia="Times New Roman" w:hAnsi="Times New Roman" w:cs="Times New Roman"/>
              <w:kern w:val="0"/>
              <w:lang w:eastAsia="en-US"/>
            </w:rPr>
            <w:t>Anisman</w:t>
          </w:r>
          <w:proofErr w:type="spellEnd"/>
          <w:r w:rsidRPr="00FC52A1">
            <w:rPr>
              <w:rFonts w:ascii="Times New Roman" w:eastAsia="Times New Roman" w:hAnsi="Times New Roman" w:cs="Times New Roman"/>
              <w:kern w:val="0"/>
              <w:lang w:eastAsia="en-US"/>
            </w:rPr>
            <w:t xml:space="preserve">, H. (2020). Resilience: Safety in the aftermath of traumatic stressor experiences. </w:t>
          </w:r>
          <w:r w:rsidRPr="00FC52A1">
            <w:rPr>
              <w:rFonts w:ascii="Times New Roman" w:eastAsia="Times New Roman" w:hAnsi="Times New Roman" w:cs="Times New Roman"/>
              <w:i/>
              <w:iCs/>
              <w:kern w:val="0"/>
              <w:lang w:eastAsia="en-US"/>
            </w:rPr>
            <w:t>Frontiers in Behavioral Neuroscience</w:t>
          </w:r>
          <w:r w:rsidRPr="00FC52A1">
            <w:rPr>
              <w:rFonts w:ascii="Times New Roman" w:eastAsia="Times New Roman" w:hAnsi="Times New Roman" w:cs="Times New Roman"/>
              <w:kern w:val="0"/>
              <w:lang w:eastAsia="en-US"/>
            </w:rPr>
            <w:t xml:space="preserve">, </w:t>
          </w:r>
          <w:r w:rsidRPr="00FC52A1">
            <w:rPr>
              <w:rFonts w:ascii="Times New Roman" w:eastAsia="Times New Roman" w:hAnsi="Times New Roman" w:cs="Times New Roman"/>
              <w:i/>
              <w:iCs/>
              <w:kern w:val="0"/>
              <w:lang w:eastAsia="en-US"/>
            </w:rPr>
            <w:t>14</w:t>
          </w:r>
          <w:r w:rsidRPr="00FC52A1">
            <w:rPr>
              <w:rFonts w:ascii="Times New Roman" w:eastAsia="Times New Roman" w:hAnsi="Times New Roman" w:cs="Times New Roman"/>
              <w:kern w:val="0"/>
              <w:lang w:eastAsia="en-US"/>
            </w:rPr>
            <w:t xml:space="preserve">. https://doi.org/10.3389/fnbeh.2020.596919 </w:t>
          </w:r>
        </w:p>
        <w:p w14:paraId="346C3432" w14:textId="77777777" w:rsidR="000F72A0" w:rsidRPr="00FC52A1" w:rsidRDefault="000F72A0" w:rsidP="00FC52A1">
          <w:pPr>
            <w:spacing w:before="100" w:beforeAutospacing="1" w:after="100" w:afterAutospacing="1"/>
            <w:ind w:left="567" w:hanging="567"/>
            <w:rPr>
              <w:rFonts w:ascii="Times New Roman" w:eastAsia="Times New Roman" w:hAnsi="Times New Roman" w:cs="Times New Roman"/>
              <w:kern w:val="0"/>
              <w:lang w:eastAsia="en-US"/>
            </w:rPr>
          </w:pPr>
          <w:r w:rsidRPr="00FC52A1">
            <w:rPr>
              <w:rFonts w:ascii="Times New Roman" w:eastAsia="Times New Roman" w:hAnsi="Times New Roman" w:cs="Times New Roman"/>
              <w:kern w:val="0"/>
              <w:lang w:eastAsia="en-US"/>
            </w:rPr>
            <w:t xml:space="preserve">Pederson, A., </w:t>
          </w:r>
          <w:proofErr w:type="spellStart"/>
          <w:r w:rsidRPr="00FC52A1">
            <w:rPr>
              <w:rFonts w:ascii="Times New Roman" w:eastAsia="Times New Roman" w:hAnsi="Times New Roman" w:cs="Times New Roman"/>
              <w:kern w:val="0"/>
              <w:lang w:eastAsia="en-US"/>
            </w:rPr>
            <w:t>Nuetzman</w:t>
          </w:r>
          <w:proofErr w:type="spellEnd"/>
          <w:r w:rsidRPr="00FC52A1">
            <w:rPr>
              <w:rFonts w:ascii="Times New Roman" w:eastAsia="Times New Roman" w:hAnsi="Times New Roman" w:cs="Times New Roman"/>
              <w:kern w:val="0"/>
              <w:lang w:eastAsia="en-US"/>
            </w:rPr>
            <w:t xml:space="preserve">, E., </w:t>
          </w:r>
          <w:proofErr w:type="spellStart"/>
          <w:r w:rsidRPr="00FC52A1">
            <w:rPr>
              <w:rFonts w:ascii="Times New Roman" w:eastAsia="Times New Roman" w:hAnsi="Times New Roman" w:cs="Times New Roman"/>
              <w:kern w:val="0"/>
              <w:lang w:eastAsia="en-US"/>
            </w:rPr>
            <w:t>Gubbels</w:t>
          </w:r>
          <w:proofErr w:type="spellEnd"/>
          <w:r w:rsidRPr="00FC52A1">
            <w:rPr>
              <w:rFonts w:ascii="Times New Roman" w:eastAsia="Times New Roman" w:hAnsi="Times New Roman" w:cs="Times New Roman"/>
              <w:kern w:val="0"/>
              <w:lang w:eastAsia="en-US"/>
            </w:rPr>
            <w:t xml:space="preserve">, J., &amp; Hummel, L. (2018). Remembrance and resilience: How the BODYSELF responds to trauma. </w:t>
          </w:r>
          <w:r w:rsidRPr="00FC52A1">
            <w:rPr>
              <w:rFonts w:ascii="Times New Roman" w:eastAsia="Times New Roman" w:hAnsi="Times New Roman" w:cs="Times New Roman"/>
              <w:i/>
              <w:iCs/>
              <w:kern w:val="0"/>
              <w:lang w:eastAsia="en-US"/>
            </w:rPr>
            <w:t>Zygon®</w:t>
          </w:r>
          <w:r w:rsidRPr="00FC52A1">
            <w:rPr>
              <w:rFonts w:ascii="Times New Roman" w:eastAsia="Times New Roman" w:hAnsi="Times New Roman" w:cs="Times New Roman"/>
              <w:kern w:val="0"/>
              <w:lang w:eastAsia="en-US"/>
            </w:rPr>
            <w:t xml:space="preserve">, </w:t>
          </w:r>
          <w:r w:rsidRPr="00FC52A1">
            <w:rPr>
              <w:rFonts w:ascii="Times New Roman" w:eastAsia="Times New Roman" w:hAnsi="Times New Roman" w:cs="Times New Roman"/>
              <w:i/>
              <w:iCs/>
              <w:kern w:val="0"/>
              <w:lang w:eastAsia="en-US"/>
            </w:rPr>
            <w:t>53</w:t>
          </w:r>
          <w:r w:rsidRPr="00FC52A1">
            <w:rPr>
              <w:rFonts w:ascii="Times New Roman" w:eastAsia="Times New Roman" w:hAnsi="Times New Roman" w:cs="Times New Roman"/>
              <w:kern w:val="0"/>
              <w:lang w:eastAsia="en-US"/>
            </w:rPr>
            <w:t xml:space="preserve">(4), 1018–1035. https://doi.org/10.1111/zygo.12474 </w:t>
          </w:r>
        </w:p>
        <w:p w14:paraId="361B2A9F" w14:textId="77777777" w:rsidR="000F72A0" w:rsidRDefault="000F72A0" w:rsidP="00C31D30">
          <w:pPr>
            <w:pStyle w:val="Bibliography"/>
          </w:pPr>
        </w:p>
      </w:sdtContent>
    </w:sdt>
    <w:p w14:paraId="4B3EE20A" w14:textId="77777777" w:rsidR="000F72A0" w:rsidRDefault="000F72A0">
      <w:pPr>
        <w:rPr>
          <w:noProof/>
        </w:rPr>
      </w:pPr>
      <w:r>
        <w:rPr>
          <w:noProof/>
        </w:rPr>
        <w:br w:type="page"/>
      </w:r>
    </w:p>
    <w:p w14:paraId="46727006" w14:textId="6B7B1FA7" w:rsidR="000F72A0" w:rsidRDefault="000F72A0" w:rsidP="000F72A0">
      <w:pPr>
        <w:pStyle w:val="Title"/>
      </w:pPr>
      <w:sdt>
        <w:sdtPr>
          <w:rPr>
            <w:b/>
            <w:bCs/>
          </w:rPr>
          <w:alias w:val="Title:"/>
          <w:tag w:val="Title:"/>
          <w:id w:val="-1467038653"/>
          <w:placeholder>
            <w:docPart w:val="5FE5EEAD3B5DA340B29169619C39FDA7"/>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Content>
          <w:r w:rsidRPr="000F72A0">
            <w:rPr>
              <w:b/>
              <w:bCs/>
            </w:rPr>
            <w:br/>
          </w:r>
          <w:r w:rsidRPr="000F72A0">
            <w:rPr>
              <w:b/>
              <w:bCs/>
            </w:rPr>
            <w:br/>
          </w:r>
          <w:r w:rsidRPr="000F72A0">
            <w:rPr>
              <w:b/>
              <w:bCs/>
            </w:rPr>
            <w:br/>
            <w:t>Benchmark</w:t>
          </w:r>
        </w:sdtContent>
      </w:sdt>
    </w:p>
    <w:p w14:paraId="2F408094" w14:textId="77777777" w:rsidR="000F72A0" w:rsidRDefault="000F72A0" w:rsidP="00B823AA">
      <w:pPr>
        <w:pStyle w:val="Title2"/>
      </w:pPr>
      <w:r>
        <w:t>Addition in Adolescence</w:t>
      </w:r>
    </w:p>
    <w:p w14:paraId="589184E8" w14:textId="77777777" w:rsidR="000F72A0" w:rsidRDefault="000F72A0" w:rsidP="00B823AA">
      <w:pPr>
        <w:pStyle w:val="Title2"/>
      </w:pPr>
      <w:r>
        <w:t>Jarrett Medford</w:t>
      </w:r>
    </w:p>
    <w:p w14:paraId="61A49BA2" w14:textId="77777777" w:rsidR="000F72A0" w:rsidRDefault="000F72A0" w:rsidP="00B823AA">
      <w:pPr>
        <w:pStyle w:val="Title2"/>
      </w:pPr>
      <w:r>
        <w:t>Liberty University</w:t>
      </w:r>
    </w:p>
    <w:p w14:paraId="02F39083" w14:textId="77777777" w:rsidR="000F72A0" w:rsidRDefault="000F72A0" w:rsidP="00B823AA">
      <w:pPr>
        <w:pStyle w:val="Title2"/>
      </w:pPr>
      <w:r>
        <w:t>COUC 502-C01</w:t>
      </w:r>
    </w:p>
    <w:p w14:paraId="54FBB254" w14:textId="77777777" w:rsidR="000F72A0" w:rsidRDefault="000F72A0" w:rsidP="00B823AA">
      <w:pPr>
        <w:pStyle w:val="Title2"/>
      </w:pPr>
      <w:r>
        <w:t>Dr. Davis</w:t>
      </w:r>
    </w:p>
    <w:p w14:paraId="56F517F5" w14:textId="77777777" w:rsidR="000F72A0" w:rsidRDefault="000F72A0">
      <w:pPr>
        <w:pStyle w:val="Title"/>
      </w:pPr>
    </w:p>
    <w:p w14:paraId="13A501E0" w14:textId="77777777" w:rsidR="000F72A0" w:rsidRDefault="000F72A0" w:rsidP="00B823AA">
      <w:pPr>
        <w:pStyle w:val="Title2"/>
      </w:pPr>
    </w:p>
    <w:p w14:paraId="3C45A91F" w14:textId="77777777" w:rsidR="000F72A0" w:rsidRDefault="000F72A0"/>
    <w:p w14:paraId="5775CD52" w14:textId="7E7111B4" w:rsidR="000F72A0" w:rsidRDefault="000F72A0">
      <w:pPr>
        <w:pStyle w:val="SectionTitle"/>
      </w:pPr>
      <w:sdt>
        <w:sdtPr>
          <w:alias w:val="Section title:"/>
          <w:tag w:val="Section title:"/>
          <w:id w:val="-1788336301"/>
          <w:placeholder>
            <w:docPart w:val="EEB1CC4A0D308D42B57567C76ECC47A7"/>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Content>
          <w:r>
            <w:br/>
          </w:r>
          <w:r>
            <w:br/>
          </w:r>
          <w:r>
            <w:br/>
            <w:t>Benchmark</w:t>
          </w:r>
        </w:sdtContent>
      </w:sdt>
    </w:p>
    <w:p w14:paraId="5D52B26E" w14:textId="77777777" w:rsidR="000F72A0" w:rsidRPr="00A40174" w:rsidRDefault="000F72A0" w:rsidP="00A40174">
      <w:pPr>
        <w:ind w:firstLine="0"/>
        <w:rPr>
          <w:rFonts w:ascii="Times New Roman" w:eastAsiaTheme="minorHAnsi" w:hAnsi="Times New Roman" w:cs="Times New Roman"/>
          <w:b/>
          <w:kern w:val="0"/>
          <w:lang w:eastAsia="en-US"/>
        </w:rPr>
      </w:pPr>
      <w:r w:rsidRPr="00A40174">
        <w:rPr>
          <w:rFonts w:ascii="Times New Roman" w:eastAsiaTheme="minorHAnsi" w:hAnsi="Times New Roman" w:cs="Times New Roman"/>
          <w:b/>
          <w:kern w:val="0"/>
          <w:lang w:eastAsia="en-US"/>
        </w:rPr>
        <w:t xml:space="preserve">Prevalence in Youth </w:t>
      </w:r>
    </w:p>
    <w:p w14:paraId="48941887" w14:textId="77777777" w:rsidR="000F72A0" w:rsidRDefault="000F72A0" w:rsidP="00A40174">
      <w:pPr>
        <w:rPr>
          <w:rFonts w:ascii="Times New Roman" w:eastAsiaTheme="minorHAnsi" w:hAnsi="Times New Roman" w:cs="Times New Roman"/>
          <w:kern w:val="0"/>
          <w:lang w:eastAsia="en-US"/>
        </w:rPr>
      </w:pPr>
      <w:r w:rsidRPr="00A40174">
        <w:rPr>
          <w:rFonts w:ascii="Times New Roman" w:eastAsiaTheme="minorHAnsi" w:hAnsi="Times New Roman" w:cs="Times New Roman"/>
          <w:kern w:val="0"/>
          <w:lang w:eastAsia="en-US"/>
        </w:rPr>
        <w:t xml:space="preserve">Approximately 15% of teenagers meet the criteria for alcohol abuse and 16% for drug abuse by age 18 (Gray &amp; </w:t>
      </w:r>
      <w:proofErr w:type="spellStart"/>
      <w:r w:rsidRPr="00A40174">
        <w:rPr>
          <w:rFonts w:ascii="Times New Roman" w:eastAsiaTheme="minorHAnsi" w:hAnsi="Times New Roman" w:cs="Times New Roman"/>
          <w:kern w:val="0"/>
          <w:lang w:eastAsia="en-US"/>
        </w:rPr>
        <w:t>Squeglia</w:t>
      </w:r>
      <w:proofErr w:type="spellEnd"/>
      <w:r w:rsidRPr="00A40174">
        <w:rPr>
          <w:rFonts w:ascii="Times New Roman" w:eastAsiaTheme="minorHAnsi" w:hAnsi="Times New Roman" w:cs="Times New Roman"/>
          <w:kern w:val="0"/>
          <w:lang w:eastAsia="en-US"/>
        </w:rPr>
        <w:t xml:space="preserve">, 2017).  Not all alcohol or drug use ends in addiction. The adolescent years contain a lot of experimentation and substances are often first used in this life stage. 64% of adolescents intend on lifelong alcohol usage followed by 45% for marijuana use and 31% for cigarette use. These rates of usage and outlook over time has not fluctuated over the years (Gray &amp; </w:t>
      </w:r>
      <w:proofErr w:type="spellStart"/>
      <w:r w:rsidRPr="00A40174">
        <w:rPr>
          <w:rFonts w:ascii="Times New Roman" w:eastAsiaTheme="minorHAnsi" w:hAnsi="Times New Roman" w:cs="Times New Roman"/>
          <w:kern w:val="0"/>
          <w:lang w:eastAsia="en-US"/>
        </w:rPr>
        <w:t>Squeglia</w:t>
      </w:r>
      <w:proofErr w:type="spellEnd"/>
      <w:r w:rsidRPr="00A40174">
        <w:rPr>
          <w:rFonts w:ascii="Times New Roman" w:eastAsiaTheme="minorHAnsi" w:hAnsi="Times New Roman" w:cs="Times New Roman"/>
          <w:kern w:val="0"/>
          <w:lang w:eastAsia="en-US"/>
        </w:rPr>
        <w:t xml:space="preserve">, 2017). </w:t>
      </w:r>
      <w:r>
        <w:rPr>
          <w:rFonts w:ascii="Times New Roman" w:eastAsiaTheme="minorHAnsi" w:hAnsi="Times New Roman" w:cs="Times New Roman"/>
          <w:kern w:val="0"/>
          <w:lang w:eastAsia="en-US"/>
        </w:rPr>
        <w:t xml:space="preserve">Adolescents handle addiction different than adults do. Research has been done on the resilience of youth, interventions and how spirituality impacts youth with substance use disorders. </w:t>
      </w:r>
    </w:p>
    <w:p w14:paraId="747DC277" w14:textId="77777777" w:rsidR="000F72A0" w:rsidRPr="00A40174" w:rsidRDefault="000F72A0" w:rsidP="00A40174">
      <w:pPr>
        <w:ind w:firstLine="0"/>
        <w:rPr>
          <w:rFonts w:ascii="Times New Roman" w:eastAsiaTheme="minorHAnsi" w:hAnsi="Times New Roman" w:cs="Times New Roman"/>
          <w:b/>
          <w:kern w:val="0"/>
          <w:lang w:eastAsia="en-US"/>
        </w:rPr>
      </w:pPr>
      <w:r w:rsidRPr="00A40174">
        <w:rPr>
          <w:rFonts w:ascii="Times New Roman" w:eastAsiaTheme="minorHAnsi" w:hAnsi="Times New Roman" w:cs="Times New Roman"/>
          <w:b/>
          <w:kern w:val="0"/>
          <w:lang w:eastAsia="en-US"/>
        </w:rPr>
        <w:t>Resilience in Youth</w:t>
      </w:r>
      <w:r w:rsidRPr="00A40174">
        <w:rPr>
          <w:rFonts w:ascii="Times New Roman" w:eastAsiaTheme="minorHAnsi" w:hAnsi="Times New Roman" w:cs="Times New Roman"/>
          <w:b/>
          <w:kern w:val="0"/>
          <w:lang w:eastAsia="en-US"/>
        </w:rPr>
        <w:tab/>
      </w:r>
    </w:p>
    <w:p w14:paraId="179A3DC1" w14:textId="77777777" w:rsidR="000F72A0" w:rsidRDefault="000F72A0" w:rsidP="00A40174">
      <w:pPr>
        <w:rPr>
          <w:rFonts w:ascii="Times New Roman" w:eastAsiaTheme="minorHAnsi" w:hAnsi="Times New Roman" w:cs="Times New Roman"/>
          <w:kern w:val="0"/>
          <w:lang w:eastAsia="en-US"/>
        </w:rPr>
      </w:pPr>
      <w:r w:rsidRPr="00A40174">
        <w:rPr>
          <w:rFonts w:ascii="Times New Roman" w:eastAsiaTheme="minorHAnsi" w:hAnsi="Times New Roman" w:cs="Times New Roman"/>
          <w:kern w:val="0"/>
          <w:lang w:eastAsia="en-US"/>
        </w:rPr>
        <w:t xml:space="preserve">Some adolescents do fall into addiction, or substance abuse disorders, in their teenage years and the effects are different than an adult dealing with addiction. Because of the brain developing going on during adolescence, the criteria of adolescents in remission is similar to those who are still experiencing a substance abuse disorder (Gray &amp; </w:t>
      </w:r>
      <w:proofErr w:type="spellStart"/>
      <w:r w:rsidRPr="00A40174">
        <w:rPr>
          <w:rFonts w:ascii="Times New Roman" w:eastAsiaTheme="minorHAnsi" w:hAnsi="Times New Roman" w:cs="Times New Roman"/>
          <w:kern w:val="0"/>
          <w:lang w:eastAsia="en-US"/>
        </w:rPr>
        <w:t>Squeglia</w:t>
      </w:r>
      <w:proofErr w:type="spellEnd"/>
      <w:r w:rsidRPr="00A40174">
        <w:rPr>
          <w:rFonts w:ascii="Times New Roman" w:eastAsiaTheme="minorHAnsi" w:hAnsi="Times New Roman" w:cs="Times New Roman"/>
          <w:kern w:val="0"/>
          <w:lang w:eastAsia="en-US"/>
        </w:rPr>
        <w:t xml:space="preserve">, 2017). Therefore, the effect of substance abuse disorders causes long term damage to cognitive functioning and speed long term. </w:t>
      </w:r>
    </w:p>
    <w:p w14:paraId="133FC598" w14:textId="77777777" w:rsidR="000F72A0" w:rsidRPr="00A40174" w:rsidRDefault="000F72A0" w:rsidP="00A40174">
      <w:pPr>
        <w:ind w:firstLine="0"/>
        <w:rPr>
          <w:rFonts w:ascii="Times New Roman" w:eastAsiaTheme="minorHAnsi" w:hAnsi="Times New Roman" w:cs="Times New Roman"/>
          <w:b/>
          <w:kern w:val="0"/>
          <w:lang w:eastAsia="en-US"/>
        </w:rPr>
      </w:pPr>
      <w:r w:rsidRPr="00A40174">
        <w:rPr>
          <w:rFonts w:ascii="Times New Roman" w:eastAsiaTheme="minorHAnsi" w:hAnsi="Times New Roman" w:cs="Times New Roman"/>
          <w:b/>
          <w:kern w:val="0"/>
          <w:lang w:eastAsia="en-US"/>
        </w:rPr>
        <w:t>Interventions in Youth</w:t>
      </w:r>
      <w:r w:rsidRPr="00A40174">
        <w:rPr>
          <w:rFonts w:ascii="Times New Roman" w:eastAsiaTheme="minorHAnsi" w:hAnsi="Times New Roman" w:cs="Times New Roman"/>
          <w:b/>
          <w:kern w:val="0"/>
          <w:lang w:eastAsia="en-US"/>
        </w:rPr>
        <w:tab/>
      </w:r>
    </w:p>
    <w:p w14:paraId="108C1FB4" w14:textId="77777777" w:rsidR="000F72A0" w:rsidRDefault="000F72A0" w:rsidP="00A40174">
      <w:pPr>
        <w:rPr>
          <w:rFonts w:ascii="Times New Roman" w:eastAsiaTheme="minorHAnsi" w:hAnsi="Times New Roman" w:cs="Times New Roman"/>
          <w:kern w:val="0"/>
          <w:lang w:eastAsia="en-US"/>
        </w:rPr>
      </w:pPr>
      <w:r w:rsidRPr="00A40174">
        <w:rPr>
          <w:rFonts w:ascii="Times New Roman" w:eastAsiaTheme="minorHAnsi" w:hAnsi="Times New Roman" w:cs="Times New Roman"/>
          <w:kern w:val="0"/>
          <w:lang w:eastAsia="en-US"/>
        </w:rPr>
        <w:t xml:space="preserve">Interventions often take the form of “prevention” in families, schools and communities. Risk and enhanced protection are the most often used forms of intervention to prevent the use of </w:t>
      </w:r>
      <w:r w:rsidRPr="00A40174">
        <w:rPr>
          <w:rFonts w:ascii="Times New Roman" w:eastAsiaTheme="minorHAnsi" w:hAnsi="Times New Roman" w:cs="Times New Roman"/>
          <w:kern w:val="0"/>
          <w:lang w:eastAsia="en-US"/>
        </w:rPr>
        <w:lastRenderedPageBreak/>
        <w:t xml:space="preserve">drugs and alcohol in youth (Gray &amp; </w:t>
      </w:r>
      <w:proofErr w:type="spellStart"/>
      <w:r w:rsidRPr="00A40174">
        <w:rPr>
          <w:rFonts w:ascii="Times New Roman" w:eastAsiaTheme="minorHAnsi" w:hAnsi="Times New Roman" w:cs="Times New Roman"/>
          <w:kern w:val="0"/>
          <w:lang w:eastAsia="en-US"/>
        </w:rPr>
        <w:t>Sequelia</w:t>
      </w:r>
      <w:proofErr w:type="spellEnd"/>
      <w:r w:rsidRPr="00A40174">
        <w:rPr>
          <w:rFonts w:ascii="Times New Roman" w:eastAsiaTheme="minorHAnsi" w:hAnsi="Times New Roman" w:cs="Times New Roman"/>
          <w:kern w:val="0"/>
          <w:lang w:eastAsia="en-US"/>
        </w:rPr>
        <w:t xml:space="preserve">, 2017). Not any one prevention intervention is enough to prevent adolescent addiction and abuse. Parents, teachers/school staff, and communities as a whole must have their own led prevention programs. Everywhere youth goes there should be a prevention program to educate youth of risk factors and protect them from alcohol and drug abuse. </w:t>
      </w:r>
      <w:r w:rsidRPr="00A40174">
        <w:rPr>
          <w:rFonts w:ascii="Times New Roman" w:eastAsiaTheme="minorHAnsi" w:hAnsi="Times New Roman" w:cs="Times New Roman"/>
          <w:kern w:val="0"/>
          <w:lang w:eastAsia="en-US"/>
        </w:rPr>
        <w:tab/>
      </w:r>
    </w:p>
    <w:p w14:paraId="6AA8FACE" w14:textId="77777777" w:rsidR="000F72A0" w:rsidRDefault="000F72A0" w:rsidP="00A40174">
      <w:pPr>
        <w:rPr>
          <w:rFonts w:ascii="Times New Roman" w:eastAsiaTheme="minorHAnsi" w:hAnsi="Times New Roman" w:cs="Times New Roman"/>
          <w:kern w:val="0"/>
          <w:lang w:eastAsia="en-US"/>
        </w:rPr>
      </w:pPr>
      <w:r w:rsidRPr="00A40174">
        <w:rPr>
          <w:rFonts w:ascii="Times New Roman" w:eastAsiaTheme="minorHAnsi" w:hAnsi="Times New Roman" w:cs="Times New Roman"/>
          <w:kern w:val="0"/>
          <w:lang w:eastAsia="en-US"/>
        </w:rPr>
        <w:t xml:space="preserve">When prevention is no longer applicable. Psychosocial interventions that are individual, group and family oriented are crucial (Gray &amp; </w:t>
      </w:r>
      <w:proofErr w:type="spellStart"/>
      <w:r w:rsidRPr="00A40174">
        <w:rPr>
          <w:rFonts w:ascii="Times New Roman" w:eastAsiaTheme="minorHAnsi" w:hAnsi="Times New Roman" w:cs="Times New Roman"/>
          <w:kern w:val="0"/>
          <w:lang w:eastAsia="en-US"/>
        </w:rPr>
        <w:t>Sequeglia</w:t>
      </w:r>
      <w:proofErr w:type="spellEnd"/>
      <w:r w:rsidRPr="00A40174">
        <w:rPr>
          <w:rFonts w:ascii="Times New Roman" w:eastAsiaTheme="minorHAnsi" w:hAnsi="Times New Roman" w:cs="Times New Roman"/>
          <w:kern w:val="0"/>
          <w:lang w:eastAsia="en-US"/>
        </w:rPr>
        <w:t xml:space="preserve">, 2017). These interventions pull family and community support to ensure that as many areas of the effected youth’s life there is support and accountability. Sometimes only one session is needed to address substance abuse; however, addiction is complex so there are also outpatient treatment for adolescents and the treatment are adult targeted treatments that have been developmentally modified to treat adolescents (Gray &amp; </w:t>
      </w:r>
      <w:proofErr w:type="spellStart"/>
      <w:r w:rsidRPr="00A40174">
        <w:rPr>
          <w:rFonts w:ascii="Times New Roman" w:eastAsiaTheme="minorHAnsi" w:hAnsi="Times New Roman" w:cs="Times New Roman"/>
          <w:kern w:val="0"/>
          <w:lang w:eastAsia="en-US"/>
        </w:rPr>
        <w:t>Sequeglia</w:t>
      </w:r>
      <w:proofErr w:type="spellEnd"/>
      <w:r w:rsidRPr="00A40174">
        <w:rPr>
          <w:rFonts w:ascii="Times New Roman" w:eastAsiaTheme="minorHAnsi" w:hAnsi="Times New Roman" w:cs="Times New Roman"/>
          <w:kern w:val="0"/>
          <w:lang w:eastAsia="en-US"/>
        </w:rPr>
        <w:t xml:space="preserve">, 2017). Adolescent brains are not adult brains and need to be approached differently </w:t>
      </w:r>
      <w:proofErr w:type="gramStart"/>
      <w:r w:rsidRPr="00A40174">
        <w:rPr>
          <w:rFonts w:ascii="Times New Roman" w:eastAsiaTheme="minorHAnsi" w:hAnsi="Times New Roman" w:cs="Times New Roman"/>
          <w:kern w:val="0"/>
          <w:lang w:eastAsia="en-US"/>
        </w:rPr>
        <w:t>in regards to</w:t>
      </w:r>
      <w:proofErr w:type="gramEnd"/>
      <w:r w:rsidRPr="00A40174">
        <w:rPr>
          <w:rFonts w:ascii="Times New Roman" w:eastAsiaTheme="minorHAnsi" w:hAnsi="Times New Roman" w:cs="Times New Roman"/>
          <w:kern w:val="0"/>
          <w:lang w:eastAsia="en-US"/>
        </w:rPr>
        <w:t xml:space="preserve"> treating addiction. There is constant change going on in developing brains and they are constantly learning new information and being molded. </w:t>
      </w:r>
    </w:p>
    <w:p w14:paraId="6FAA9670" w14:textId="77777777" w:rsidR="000F72A0" w:rsidRPr="00A40174" w:rsidRDefault="000F72A0" w:rsidP="00A40174">
      <w:pPr>
        <w:ind w:firstLine="0"/>
        <w:rPr>
          <w:rFonts w:ascii="Times New Roman" w:eastAsiaTheme="minorHAnsi" w:hAnsi="Times New Roman" w:cs="Times New Roman"/>
          <w:b/>
          <w:kern w:val="0"/>
          <w:lang w:eastAsia="en-US"/>
        </w:rPr>
      </w:pPr>
      <w:r w:rsidRPr="00A40174">
        <w:rPr>
          <w:rFonts w:ascii="Times New Roman" w:eastAsiaTheme="minorHAnsi" w:hAnsi="Times New Roman" w:cs="Times New Roman"/>
          <w:b/>
          <w:kern w:val="0"/>
          <w:lang w:eastAsia="en-US"/>
        </w:rPr>
        <w:t>Spirituality</w:t>
      </w:r>
      <w:r w:rsidRPr="00A40174">
        <w:rPr>
          <w:rFonts w:ascii="Times New Roman" w:eastAsiaTheme="minorHAnsi" w:hAnsi="Times New Roman" w:cs="Times New Roman"/>
          <w:b/>
          <w:kern w:val="0"/>
          <w:lang w:eastAsia="en-US"/>
        </w:rPr>
        <w:tab/>
      </w:r>
    </w:p>
    <w:p w14:paraId="7E5A2C36" w14:textId="77777777" w:rsidR="000F72A0" w:rsidRDefault="000F72A0" w:rsidP="00A40174">
      <w:pPr>
        <w:rPr>
          <w:rFonts w:ascii="Times New Roman" w:eastAsiaTheme="minorHAnsi" w:hAnsi="Times New Roman" w:cs="Times New Roman"/>
          <w:kern w:val="0"/>
          <w:lang w:eastAsia="en-US"/>
        </w:rPr>
      </w:pPr>
      <w:r w:rsidRPr="00A40174">
        <w:rPr>
          <w:rFonts w:ascii="Times New Roman" w:eastAsiaTheme="minorHAnsi" w:hAnsi="Times New Roman" w:cs="Times New Roman"/>
          <w:kern w:val="0"/>
          <w:lang w:eastAsia="en-US"/>
        </w:rPr>
        <w:t>Based on the general belief in the faith based community is that substance use is sinful (</w:t>
      </w:r>
      <w:proofErr w:type="spellStart"/>
      <w:r w:rsidRPr="00A40174">
        <w:rPr>
          <w:rFonts w:ascii="Times New Roman" w:eastAsiaTheme="minorHAnsi" w:hAnsi="Times New Roman" w:cs="Times New Roman"/>
          <w:kern w:val="0"/>
          <w:lang w:eastAsia="en-US"/>
        </w:rPr>
        <w:t>Neddelec</w:t>
      </w:r>
      <w:proofErr w:type="spellEnd"/>
      <w:r w:rsidRPr="00A40174">
        <w:rPr>
          <w:rFonts w:ascii="Times New Roman" w:eastAsiaTheme="minorHAnsi" w:hAnsi="Times New Roman" w:cs="Times New Roman"/>
          <w:kern w:val="0"/>
          <w:lang w:eastAsia="en-US"/>
        </w:rPr>
        <w:t xml:space="preserve">, Richardson &amp; Silver, 2017). Even if a person lacks faith, their opinions may come from their religiousness and be enough to prevent adolescents from abusing substances. Sometimes fear of the risks of using drugs or alcohol are not enough to prevent someone from using; however, if there is an added fear of a greater power that does not approve of the activity there would be a greater chance of not using drugs or alcohol. </w:t>
      </w:r>
      <w:r w:rsidRPr="00A40174">
        <w:rPr>
          <w:rFonts w:ascii="Times New Roman" w:eastAsiaTheme="minorHAnsi" w:hAnsi="Times New Roman" w:cs="Times New Roman"/>
          <w:kern w:val="0"/>
          <w:lang w:eastAsia="en-US"/>
        </w:rPr>
        <w:tab/>
      </w:r>
    </w:p>
    <w:p w14:paraId="645F189D" w14:textId="77777777" w:rsidR="000F72A0" w:rsidRDefault="000F72A0" w:rsidP="00A40174">
      <w:r w:rsidRPr="00A40174">
        <w:rPr>
          <w:rFonts w:ascii="Times New Roman" w:eastAsiaTheme="minorHAnsi" w:hAnsi="Times New Roman" w:cs="Times New Roman"/>
          <w:kern w:val="0"/>
          <w:lang w:eastAsia="en-US"/>
        </w:rPr>
        <w:t xml:space="preserve">Looking more spiritually, </w:t>
      </w:r>
      <w:proofErr w:type="gramStart"/>
      <w:r w:rsidRPr="00A40174">
        <w:rPr>
          <w:rFonts w:ascii="Times New Roman" w:eastAsiaTheme="minorHAnsi" w:hAnsi="Times New Roman" w:cs="Times New Roman"/>
          <w:kern w:val="0"/>
          <w:lang w:eastAsia="en-US"/>
        </w:rPr>
        <w:t>the some</w:t>
      </w:r>
      <w:proofErr w:type="gramEnd"/>
      <w:r w:rsidRPr="00A40174">
        <w:rPr>
          <w:rFonts w:ascii="Times New Roman" w:eastAsiaTheme="minorHAnsi" w:hAnsi="Times New Roman" w:cs="Times New Roman"/>
          <w:kern w:val="0"/>
          <w:lang w:eastAsia="en-US"/>
        </w:rPr>
        <w:t xml:space="preserve"> spiritual transformations are very impactful when it comes to decision making (</w:t>
      </w:r>
      <w:proofErr w:type="spellStart"/>
      <w:r w:rsidRPr="00A40174">
        <w:rPr>
          <w:rFonts w:ascii="Times New Roman" w:eastAsiaTheme="minorHAnsi" w:hAnsi="Times New Roman" w:cs="Times New Roman"/>
          <w:kern w:val="0"/>
          <w:lang w:eastAsia="en-US"/>
        </w:rPr>
        <w:t>Neddelec</w:t>
      </w:r>
      <w:proofErr w:type="spellEnd"/>
      <w:r w:rsidRPr="00A40174">
        <w:rPr>
          <w:rFonts w:ascii="Times New Roman" w:eastAsiaTheme="minorHAnsi" w:hAnsi="Times New Roman" w:cs="Times New Roman"/>
          <w:kern w:val="0"/>
          <w:lang w:eastAsia="en-US"/>
        </w:rPr>
        <w:t xml:space="preserve">, Richardson &amp; Silver, 2017). The major transformation is </w:t>
      </w:r>
      <w:r w:rsidRPr="00A40174">
        <w:rPr>
          <w:rFonts w:ascii="Times New Roman" w:eastAsiaTheme="minorHAnsi" w:hAnsi="Times New Roman" w:cs="Times New Roman"/>
          <w:kern w:val="0"/>
          <w:lang w:eastAsia="en-US"/>
        </w:rPr>
        <w:lastRenderedPageBreak/>
        <w:t xml:space="preserve">one of the most motivating times in a person’s life and often is one of the biggest turning points. During a turning point is a great time to decide to focus on changing something about someone’s self, such as the abuse of drugs and alcohol. </w:t>
      </w:r>
      <w:r>
        <w:rPr>
          <w:rFonts w:ascii="Times New Roman" w:eastAsiaTheme="minorHAnsi" w:hAnsi="Times New Roman" w:cs="Times New Roman"/>
          <w:kern w:val="0"/>
          <w:lang w:eastAsia="en-US"/>
        </w:rPr>
        <w:t xml:space="preserve">Therefore, adolescents that identify as spiritual have their own added strategies of conquering addiction. </w:t>
      </w:r>
    </w:p>
    <w:sdt>
      <w:sdtPr>
        <w:rPr>
          <w:rFonts w:asciiTheme="minorHAnsi" w:eastAsiaTheme="minorEastAsia" w:hAnsiTheme="minorHAnsi" w:cstheme="minorBidi"/>
        </w:rPr>
        <w:id w:val="-351882519"/>
        <w:docPartObj>
          <w:docPartGallery w:val="Bibliographies"/>
          <w:docPartUnique/>
        </w:docPartObj>
      </w:sdtPr>
      <w:sdtContent>
        <w:p w14:paraId="2F4028C3" w14:textId="77777777" w:rsidR="000F72A0" w:rsidRDefault="000F72A0">
          <w:pPr>
            <w:pStyle w:val="SectionTitle"/>
          </w:pPr>
          <w:r>
            <w:t>References</w:t>
          </w:r>
        </w:p>
        <w:p w14:paraId="4B687FA1" w14:textId="77777777" w:rsidR="000F72A0" w:rsidRDefault="000F72A0" w:rsidP="00997ECB">
          <w:pPr>
            <w:spacing w:before="100" w:beforeAutospacing="1" w:after="100" w:afterAutospacing="1"/>
            <w:ind w:left="567" w:hanging="567"/>
            <w:rPr>
              <w:rFonts w:ascii="Times New Roman" w:eastAsia="Times New Roman" w:hAnsi="Times New Roman" w:cs="Times New Roman"/>
              <w:kern w:val="0"/>
              <w:lang w:eastAsia="en-US"/>
            </w:rPr>
          </w:pPr>
          <w:r w:rsidRPr="00997ECB">
            <w:rPr>
              <w:rFonts w:ascii="Times New Roman" w:eastAsia="Times New Roman" w:hAnsi="Times New Roman" w:cs="Times New Roman"/>
              <w:kern w:val="0"/>
              <w:lang w:eastAsia="en-US"/>
            </w:rPr>
            <w:t xml:space="preserve">Gray, K. M., &amp; </w:t>
          </w:r>
          <w:proofErr w:type="spellStart"/>
          <w:r w:rsidRPr="00997ECB">
            <w:rPr>
              <w:rFonts w:ascii="Times New Roman" w:eastAsia="Times New Roman" w:hAnsi="Times New Roman" w:cs="Times New Roman"/>
              <w:kern w:val="0"/>
              <w:lang w:eastAsia="en-US"/>
            </w:rPr>
            <w:t>Squeglia</w:t>
          </w:r>
          <w:proofErr w:type="spellEnd"/>
          <w:r w:rsidRPr="00997ECB">
            <w:rPr>
              <w:rFonts w:ascii="Times New Roman" w:eastAsia="Times New Roman" w:hAnsi="Times New Roman" w:cs="Times New Roman"/>
              <w:kern w:val="0"/>
              <w:lang w:eastAsia="en-US"/>
            </w:rPr>
            <w:t xml:space="preserve">, L. M. (2017). Research review: What have we learned about adolescent substance use? </w:t>
          </w:r>
          <w:r w:rsidRPr="00997ECB">
            <w:rPr>
              <w:rFonts w:ascii="Times New Roman" w:eastAsia="Times New Roman" w:hAnsi="Times New Roman" w:cs="Times New Roman"/>
              <w:i/>
              <w:iCs/>
              <w:kern w:val="0"/>
              <w:lang w:eastAsia="en-US"/>
            </w:rPr>
            <w:t>Journal of Child Psychology and Psychiatry</w:t>
          </w:r>
          <w:r w:rsidRPr="00997ECB">
            <w:rPr>
              <w:rFonts w:ascii="Times New Roman" w:eastAsia="Times New Roman" w:hAnsi="Times New Roman" w:cs="Times New Roman"/>
              <w:kern w:val="0"/>
              <w:lang w:eastAsia="en-US"/>
            </w:rPr>
            <w:t xml:space="preserve">, </w:t>
          </w:r>
          <w:r w:rsidRPr="00997ECB">
            <w:rPr>
              <w:rFonts w:ascii="Times New Roman" w:eastAsia="Times New Roman" w:hAnsi="Times New Roman" w:cs="Times New Roman"/>
              <w:i/>
              <w:iCs/>
              <w:kern w:val="0"/>
              <w:lang w:eastAsia="en-US"/>
            </w:rPr>
            <w:t>59</w:t>
          </w:r>
          <w:r w:rsidRPr="00997ECB">
            <w:rPr>
              <w:rFonts w:ascii="Times New Roman" w:eastAsia="Times New Roman" w:hAnsi="Times New Roman" w:cs="Times New Roman"/>
              <w:kern w:val="0"/>
              <w:lang w:eastAsia="en-US"/>
            </w:rPr>
            <w:t xml:space="preserve">(6), 618–627. https://doi.org/10.1111/jcpp.12783 </w:t>
          </w:r>
        </w:p>
        <w:p w14:paraId="02F52593" w14:textId="77777777" w:rsidR="000F72A0" w:rsidRPr="00997ECB" w:rsidRDefault="000F72A0" w:rsidP="00997ECB">
          <w:pPr>
            <w:spacing w:before="100" w:beforeAutospacing="1" w:after="100" w:afterAutospacing="1"/>
            <w:ind w:left="567" w:hanging="567"/>
            <w:rPr>
              <w:rFonts w:ascii="Times New Roman" w:eastAsia="Times New Roman" w:hAnsi="Times New Roman" w:cs="Times New Roman"/>
              <w:kern w:val="0"/>
              <w:lang w:eastAsia="en-US"/>
            </w:rPr>
          </w:pPr>
          <w:proofErr w:type="spellStart"/>
          <w:r w:rsidRPr="00997ECB">
            <w:rPr>
              <w:rFonts w:ascii="Times New Roman" w:eastAsia="Times New Roman" w:hAnsi="Times New Roman" w:cs="Times New Roman"/>
              <w:kern w:val="0"/>
              <w:lang w:eastAsia="en-US"/>
            </w:rPr>
            <w:t>Nedelec</w:t>
          </w:r>
          <w:proofErr w:type="spellEnd"/>
          <w:r w:rsidRPr="00997ECB">
            <w:rPr>
              <w:rFonts w:ascii="Times New Roman" w:eastAsia="Times New Roman" w:hAnsi="Times New Roman" w:cs="Times New Roman"/>
              <w:kern w:val="0"/>
              <w:lang w:eastAsia="en-US"/>
            </w:rPr>
            <w:t xml:space="preserve">, J. L., Richardson, G., &amp; Silver, I. A. (2017). Religiousness, spirituality, and substance use: A genetically sensitive examination and critique. </w:t>
          </w:r>
          <w:r w:rsidRPr="00997ECB">
            <w:rPr>
              <w:rFonts w:ascii="Times New Roman" w:eastAsia="Times New Roman" w:hAnsi="Times New Roman" w:cs="Times New Roman"/>
              <w:i/>
              <w:iCs/>
              <w:kern w:val="0"/>
              <w:lang w:eastAsia="en-US"/>
            </w:rPr>
            <w:t>Journal of Drug Issues</w:t>
          </w:r>
          <w:r w:rsidRPr="00997ECB">
            <w:rPr>
              <w:rFonts w:ascii="Times New Roman" w:eastAsia="Times New Roman" w:hAnsi="Times New Roman" w:cs="Times New Roman"/>
              <w:kern w:val="0"/>
              <w:lang w:eastAsia="en-US"/>
            </w:rPr>
            <w:t xml:space="preserve">, </w:t>
          </w:r>
          <w:r w:rsidRPr="00997ECB">
            <w:rPr>
              <w:rFonts w:ascii="Times New Roman" w:eastAsia="Times New Roman" w:hAnsi="Times New Roman" w:cs="Times New Roman"/>
              <w:i/>
              <w:iCs/>
              <w:kern w:val="0"/>
              <w:lang w:eastAsia="en-US"/>
            </w:rPr>
            <w:t>47</w:t>
          </w:r>
          <w:r w:rsidRPr="00997ECB">
            <w:rPr>
              <w:rFonts w:ascii="Times New Roman" w:eastAsia="Times New Roman" w:hAnsi="Times New Roman" w:cs="Times New Roman"/>
              <w:kern w:val="0"/>
              <w:lang w:eastAsia="en-US"/>
            </w:rPr>
            <w:t xml:space="preserve">(3), 340–355. https://doi.org/10.1177/0022042617693382 </w:t>
          </w:r>
        </w:p>
        <w:p w14:paraId="11AF22F7" w14:textId="77777777" w:rsidR="000F72A0" w:rsidRDefault="000F72A0" w:rsidP="00997ECB">
          <w:pPr>
            <w:pStyle w:val="Bibliography"/>
            <w:ind w:left="0" w:firstLine="0"/>
            <w:rPr>
              <w:noProof/>
            </w:rPr>
          </w:pPr>
        </w:p>
      </w:sdtContent>
    </w:sdt>
    <w:p w14:paraId="06DD17CE" w14:textId="77777777" w:rsidR="000F72A0" w:rsidRDefault="000F72A0" w:rsidP="00FC52A1">
      <w:pPr>
        <w:pStyle w:val="Bibliography"/>
        <w:ind w:left="0" w:firstLine="0"/>
        <w:rPr>
          <w:noProof/>
        </w:rPr>
      </w:pPr>
    </w:p>
    <w:p w14:paraId="4F7B2C09" w14:textId="313A7BDE" w:rsidR="000F72A0" w:rsidRPr="000F72A0" w:rsidRDefault="000F72A0" w:rsidP="000F72A0"/>
    <w:p w14:paraId="2BAEC47F" w14:textId="6AB51599" w:rsidR="000F72A0" w:rsidRDefault="000F72A0" w:rsidP="000F72A0">
      <w:pPr>
        <w:rPr>
          <w:rFonts w:ascii="Times New Roman" w:hAnsi="Times New Roman" w:cs="Times New Roman"/>
        </w:rPr>
      </w:pPr>
    </w:p>
    <w:p w14:paraId="400A8A24" w14:textId="6F624EB5" w:rsidR="000F72A0" w:rsidRPr="000F72A0" w:rsidRDefault="000F72A0" w:rsidP="000F72A0">
      <w:pPr>
        <w:tabs>
          <w:tab w:val="left" w:pos="3312"/>
        </w:tabs>
      </w:pPr>
      <w:r>
        <w:tab/>
      </w:r>
    </w:p>
    <w:sectPr w:rsidR="000F72A0" w:rsidRPr="000F72A0">
      <w:headerReference w:type="default" r:id="rId10"/>
      <w:headerReference w:type="first" r:id="rId11"/>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92FCFB" w14:textId="77777777" w:rsidR="001F62AA" w:rsidRDefault="001F62AA">
      <w:pPr>
        <w:spacing w:line="240" w:lineRule="auto"/>
      </w:pPr>
      <w:r>
        <w:separator/>
      </w:r>
    </w:p>
    <w:p w14:paraId="5E002018" w14:textId="77777777" w:rsidR="001F62AA" w:rsidRDefault="001F62AA"/>
  </w:endnote>
  <w:endnote w:type="continuationSeparator" w:id="0">
    <w:p w14:paraId="2847B809" w14:textId="77777777" w:rsidR="001F62AA" w:rsidRDefault="001F62AA">
      <w:pPr>
        <w:spacing w:line="240" w:lineRule="auto"/>
      </w:pPr>
      <w:r>
        <w:continuationSeparator/>
      </w:r>
    </w:p>
    <w:p w14:paraId="626BF348" w14:textId="77777777" w:rsidR="001F62AA" w:rsidRDefault="001F62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604020202020204"/>
    <w:charset w:val="00"/>
    <w:family w:val="swiss"/>
    <w:notTrueType/>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C9A5C2" w14:textId="77777777" w:rsidR="001F62AA" w:rsidRDefault="001F62AA">
      <w:pPr>
        <w:spacing w:line="240" w:lineRule="auto"/>
      </w:pPr>
      <w:r>
        <w:separator/>
      </w:r>
    </w:p>
    <w:p w14:paraId="78E8F224" w14:textId="77777777" w:rsidR="001F62AA" w:rsidRDefault="001F62AA"/>
  </w:footnote>
  <w:footnote w:type="continuationSeparator" w:id="0">
    <w:p w14:paraId="24F51C14" w14:textId="77777777" w:rsidR="001F62AA" w:rsidRDefault="001F62AA">
      <w:pPr>
        <w:spacing w:line="240" w:lineRule="auto"/>
      </w:pPr>
      <w:r>
        <w:continuationSeparator/>
      </w:r>
    </w:p>
    <w:p w14:paraId="6A42EE8D" w14:textId="77777777" w:rsidR="001F62AA" w:rsidRDefault="001F62A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5F3EEB" w14:textId="61DB1B68" w:rsidR="000A12E6" w:rsidRDefault="001F62AA">
    <w:pPr>
      <w:pStyle w:val="Header"/>
    </w:pPr>
    <w:sdt>
      <w:sdtPr>
        <w:rPr>
          <w:rStyle w:val="Strong"/>
        </w:rPr>
        <w:alias w:val="Running head"/>
        <w:tag w:val=""/>
        <w:id w:val="12739865"/>
        <w:placeholder>
          <w:docPart w:val="D974AF9C66F44B4F931FDD804CE48240"/>
        </w:placeholde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sidR="000A12E6">
          <w:rPr>
            <w:rStyle w:val="Strong"/>
          </w:rPr>
          <w:t>Jarrett’s developmental analysis</w:t>
        </w:r>
      </w:sdtContent>
    </w:sdt>
    <w:r w:rsidR="000A12E6">
      <w:rPr>
        <w:rStyle w:val="Strong"/>
      </w:rPr>
      <w:ptab w:relativeTo="margin" w:alignment="right" w:leader="none"/>
    </w:r>
    <w:r w:rsidR="000A12E6">
      <w:rPr>
        <w:rStyle w:val="Strong"/>
      </w:rPr>
      <w:fldChar w:fldCharType="begin"/>
    </w:r>
    <w:r w:rsidR="000A12E6">
      <w:rPr>
        <w:rStyle w:val="Strong"/>
      </w:rPr>
      <w:instrText xml:space="preserve"> PAGE   \* MERGEFORMAT </w:instrText>
    </w:r>
    <w:r w:rsidR="000A12E6">
      <w:rPr>
        <w:rStyle w:val="Strong"/>
      </w:rPr>
      <w:fldChar w:fldCharType="separate"/>
    </w:r>
    <w:r w:rsidR="000A12E6">
      <w:rPr>
        <w:rStyle w:val="Strong"/>
        <w:noProof/>
      </w:rPr>
      <w:t>8</w:t>
    </w:r>
    <w:r w:rsidR="000A12E6">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B2E363" w14:textId="1F528D28" w:rsidR="000A12E6" w:rsidRDefault="000A12E6">
    <w:pPr>
      <w:pStyle w:val="Header"/>
      <w:rPr>
        <w:rStyle w:val="Strong"/>
      </w:rPr>
    </w:pPr>
    <w:r>
      <w:t xml:space="preserve">Running head: </w:t>
    </w:r>
    <w:sdt>
      <w:sdtPr>
        <w:rPr>
          <w:rStyle w:val="Strong"/>
        </w:rPr>
        <w:alias w:val="Running head"/>
        <w:tag w:val=""/>
        <w:id w:val="-696842620"/>
        <w:placeholder>
          <w:docPart w:val="5D99607D772B984EB3431D8C586916F1"/>
        </w:placeholde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Pr>
            <w:rStyle w:val="Strong"/>
          </w:rPr>
          <w:t>Jarrett’s developmental analysis</w:t>
        </w:r>
      </w:sdtContent>
    </w:sdt>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Pr>
        <w:rStyle w:val="Strong"/>
        <w:noProof/>
      </w:rPr>
      <w:t>1</w:t>
    </w:r>
    <w:r>
      <w:rPr>
        <w:rStyle w:val="Strong"/>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proofState w:spelling="clean" w:grammar="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B87"/>
    <w:rsid w:val="00056C7F"/>
    <w:rsid w:val="000A12E6"/>
    <w:rsid w:val="000D3F41"/>
    <w:rsid w:val="000F72A0"/>
    <w:rsid w:val="00142E86"/>
    <w:rsid w:val="001B7191"/>
    <w:rsid w:val="001F62AA"/>
    <w:rsid w:val="0024161B"/>
    <w:rsid w:val="00255CC7"/>
    <w:rsid w:val="002715AE"/>
    <w:rsid w:val="002D6C9D"/>
    <w:rsid w:val="00342932"/>
    <w:rsid w:val="00355DCA"/>
    <w:rsid w:val="003C4607"/>
    <w:rsid w:val="00407B99"/>
    <w:rsid w:val="0041272F"/>
    <w:rsid w:val="004A7B87"/>
    <w:rsid w:val="004E3A40"/>
    <w:rsid w:val="00551A02"/>
    <w:rsid w:val="005534FA"/>
    <w:rsid w:val="00575C35"/>
    <w:rsid w:val="00591AB7"/>
    <w:rsid w:val="005D2CED"/>
    <w:rsid w:val="005D3A03"/>
    <w:rsid w:val="005E6E4F"/>
    <w:rsid w:val="00640446"/>
    <w:rsid w:val="00666B58"/>
    <w:rsid w:val="00687B39"/>
    <w:rsid w:val="007222E8"/>
    <w:rsid w:val="008002C0"/>
    <w:rsid w:val="00815125"/>
    <w:rsid w:val="0086026C"/>
    <w:rsid w:val="00871219"/>
    <w:rsid w:val="008A063E"/>
    <w:rsid w:val="008C5323"/>
    <w:rsid w:val="00922F8B"/>
    <w:rsid w:val="009932A5"/>
    <w:rsid w:val="009A6A3B"/>
    <w:rsid w:val="009B5F5F"/>
    <w:rsid w:val="009D7D47"/>
    <w:rsid w:val="009E207F"/>
    <w:rsid w:val="00A01023"/>
    <w:rsid w:val="00A93B62"/>
    <w:rsid w:val="00B823AA"/>
    <w:rsid w:val="00B91E63"/>
    <w:rsid w:val="00BA1EB5"/>
    <w:rsid w:val="00BA45DB"/>
    <w:rsid w:val="00BF4184"/>
    <w:rsid w:val="00C0601E"/>
    <w:rsid w:val="00C31D30"/>
    <w:rsid w:val="00C8199F"/>
    <w:rsid w:val="00CD6E39"/>
    <w:rsid w:val="00CF6E91"/>
    <w:rsid w:val="00D85B68"/>
    <w:rsid w:val="00DA321F"/>
    <w:rsid w:val="00DB05D5"/>
    <w:rsid w:val="00DE14E2"/>
    <w:rsid w:val="00E57328"/>
    <w:rsid w:val="00E6004D"/>
    <w:rsid w:val="00E81978"/>
    <w:rsid w:val="00E84AB4"/>
    <w:rsid w:val="00EB1D08"/>
    <w:rsid w:val="00EB490C"/>
    <w:rsid w:val="00EB7DFD"/>
    <w:rsid w:val="00EC2A93"/>
    <w:rsid w:val="00ED595B"/>
    <w:rsid w:val="00F13063"/>
    <w:rsid w:val="00F37452"/>
    <w:rsid w:val="00F379B7"/>
    <w:rsid w:val="00F43677"/>
    <w:rsid w:val="00F525FA"/>
    <w:rsid w:val="00F54269"/>
    <w:rsid w:val="00FB470A"/>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AC6E7E"/>
  <w15:chartTrackingRefBased/>
  <w15:docId w15:val="{80AE6251-19CF-324F-BD0F-06F35632B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character" w:customStyle="1" w:styleId="citationtext">
    <w:name w:val="citationtext"/>
    <w:basedOn w:val="DefaultParagraphFont"/>
    <w:rsid w:val="00591AB7"/>
  </w:style>
  <w:style w:type="character" w:styleId="Hyperlink">
    <w:name w:val="Hyperlink"/>
    <w:basedOn w:val="DefaultParagraphFont"/>
    <w:uiPriority w:val="99"/>
    <w:unhideWhenUsed/>
    <w:rsid w:val="00591AB7"/>
    <w:rPr>
      <w:color w:val="5F5F5F" w:themeColor="hyperlink"/>
      <w:u w:val="single"/>
    </w:rPr>
  </w:style>
  <w:style w:type="character" w:styleId="UnresolvedMention">
    <w:name w:val="Unresolved Mention"/>
    <w:basedOn w:val="DefaultParagraphFont"/>
    <w:uiPriority w:val="99"/>
    <w:semiHidden/>
    <w:unhideWhenUsed/>
    <w:rsid w:val="00591A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807016">
      <w:bodyDiv w:val="1"/>
      <w:marLeft w:val="0"/>
      <w:marRight w:val="0"/>
      <w:marTop w:val="0"/>
      <w:marBottom w:val="0"/>
      <w:divBdr>
        <w:top w:val="none" w:sz="0" w:space="0" w:color="auto"/>
        <w:left w:val="none" w:sz="0" w:space="0" w:color="auto"/>
        <w:bottom w:val="none" w:sz="0" w:space="0" w:color="auto"/>
        <w:right w:val="none" w:sz="0" w:space="0" w:color="auto"/>
      </w:divBdr>
    </w:div>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399062735">
      <w:bodyDiv w:val="1"/>
      <w:marLeft w:val="0"/>
      <w:marRight w:val="0"/>
      <w:marTop w:val="0"/>
      <w:marBottom w:val="0"/>
      <w:divBdr>
        <w:top w:val="none" w:sz="0" w:space="0" w:color="auto"/>
        <w:left w:val="none" w:sz="0" w:space="0" w:color="auto"/>
        <w:bottom w:val="none" w:sz="0" w:space="0" w:color="auto"/>
        <w:right w:val="none" w:sz="0" w:space="0" w:color="auto"/>
      </w:divBdr>
      <w:divsChild>
        <w:div w:id="972559371">
          <w:marLeft w:val="-225"/>
          <w:marRight w:val="-225"/>
          <w:marTop w:val="0"/>
          <w:marBottom w:val="0"/>
          <w:divBdr>
            <w:top w:val="none" w:sz="0" w:space="0" w:color="auto"/>
            <w:left w:val="none" w:sz="0" w:space="0" w:color="auto"/>
            <w:bottom w:val="none" w:sz="0" w:space="0" w:color="auto"/>
            <w:right w:val="none" w:sz="0" w:space="0" w:color="auto"/>
          </w:divBdr>
          <w:divsChild>
            <w:div w:id="822161539">
              <w:marLeft w:val="0"/>
              <w:marRight w:val="0"/>
              <w:marTop w:val="0"/>
              <w:marBottom w:val="0"/>
              <w:divBdr>
                <w:top w:val="none" w:sz="0" w:space="0" w:color="auto"/>
                <w:left w:val="none" w:sz="0" w:space="0" w:color="auto"/>
                <w:bottom w:val="none" w:sz="0" w:space="0" w:color="auto"/>
                <w:right w:val="none" w:sz="0" w:space="0" w:color="auto"/>
              </w:divBdr>
              <w:divsChild>
                <w:div w:id="115805396">
                  <w:marLeft w:val="0"/>
                  <w:marRight w:val="0"/>
                  <w:marTop w:val="0"/>
                  <w:marBottom w:val="0"/>
                  <w:divBdr>
                    <w:top w:val="none" w:sz="0" w:space="0" w:color="auto"/>
                    <w:left w:val="none" w:sz="0" w:space="0" w:color="auto"/>
                    <w:bottom w:val="none" w:sz="0" w:space="0" w:color="auto"/>
                    <w:right w:val="none" w:sz="0" w:space="0" w:color="auto"/>
                  </w:divBdr>
                  <w:divsChild>
                    <w:div w:id="580138455">
                      <w:marLeft w:val="0"/>
                      <w:marRight w:val="0"/>
                      <w:marTop w:val="450"/>
                      <w:marBottom w:val="0"/>
                      <w:divBdr>
                        <w:top w:val="none" w:sz="0" w:space="0" w:color="auto"/>
                        <w:left w:val="none" w:sz="0" w:space="0" w:color="auto"/>
                        <w:bottom w:val="none" w:sz="0" w:space="0" w:color="auto"/>
                        <w:right w:val="none" w:sz="0" w:space="0" w:color="auto"/>
                      </w:divBdr>
                      <w:divsChild>
                        <w:div w:id="1854756961">
                          <w:marLeft w:val="0"/>
                          <w:marRight w:val="0"/>
                          <w:marTop w:val="0"/>
                          <w:marBottom w:val="0"/>
                          <w:divBdr>
                            <w:top w:val="none" w:sz="0" w:space="0" w:color="auto"/>
                            <w:left w:val="none" w:sz="0" w:space="0" w:color="auto"/>
                            <w:bottom w:val="none" w:sz="0" w:space="0" w:color="auto"/>
                            <w:right w:val="none" w:sz="0" w:space="0" w:color="auto"/>
                          </w:divBdr>
                          <w:divsChild>
                            <w:div w:id="555898916">
                              <w:marLeft w:val="0"/>
                              <w:marRight w:val="0"/>
                              <w:marTop w:val="0"/>
                              <w:marBottom w:val="0"/>
                              <w:divBdr>
                                <w:top w:val="none" w:sz="0" w:space="0" w:color="auto"/>
                                <w:left w:val="none" w:sz="0" w:space="0" w:color="auto"/>
                                <w:bottom w:val="none" w:sz="0" w:space="0" w:color="auto"/>
                                <w:right w:val="none" w:sz="0" w:space="0" w:color="auto"/>
                              </w:divBdr>
                              <w:divsChild>
                                <w:div w:id="988095481">
                                  <w:marLeft w:val="0"/>
                                  <w:marRight w:val="0"/>
                                  <w:marTop w:val="0"/>
                                  <w:marBottom w:val="0"/>
                                  <w:divBdr>
                                    <w:top w:val="none" w:sz="0" w:space="0" w:color="auto"/>
                                    <w:left w:val="none" w:sz="0" w:space="0" w:color="auto"/>
                                    <w:bottom w:val="none" w:sz="0" w:space="0" w:color="auto"/>
                                    <w:right w:val="none" w:sz="0" w:space="0" w:color="auto"/>
                                  </w:divBdr>
                                  <w:divsChild>
                                    <w:div w:id="806968451">
                                      <w:marLeft w:val="0"/>
                                      <w:marRight w:val="0"/>
                                      <w:marTop w:val="0"/>
                                      <w:marBottom w:val="0"/>
                                      <w:divBdr>
                                        <w:top w:val="none" w:sz="0" w:space="0" w:color="auto"/>
                                        <w:left w:val="none" w:sz="0" w:space="0" w:color="auto"/>
                                        <w:bottom w:val="none" w:sz="0" w:space="0" w:color="auto"/>
                                        <w:right w:val="none" w:sz="0" w:space="0" w:color="auto"/>
                                      </w:divBdr>
                                      <w:divsChild>
                                        <w:div w:id="58331021">
                                          <w:marLeft w:val="0"/>
                                          <w:marRight w:val="0"/>
                                          <w:marTop w:val="150"/>
                                          <w:marBottom w:val="150"/>
                                          <w:divBdr>
                                            <w:top w:val="single" w:sz="6" w:space="10" w:color="E6E6E6"/>
                                            <w:left w:val="single" w:sz="6" w:space="10" w:color="E6E6E6"/>
                                            <w:bottom w:val="single" w:sz="6" w:space="10" w:color="E6E6E6"/>
                                            <w:right w:val="single" w:sz="6" w:space="10" w:color="E6E6E6"/>
                                          </w:divBdr>
                                        </w:div>
                                      </w:divsChild>
                                    </w:div>
                                  </w:divsChild>
                                </w:div>
                              </w:divsChild>
                            </w:div>
                          </w:divsChild>
                        </w:div>
                      </w:divsChild>
                    </w:div>
                  </w:divsChild>
                </w:div>
              </w:divsChild>
            </w:div>
          </w:divsChild>
        </w:div>
        <w:div w:id="905846690">
          <w:marLeft w:val="0"/>
          <w:marRight w:val="0"/>
          <w:marTop w:val="675"/>
          <w:marBottom w:val="0"/>
          <w:divBdr>
            <w:top w:val="none" w:sz="0" w:space="0" w:color="auto"/>
            <w:left w:val="none" w:sz="0" w:space="0" w:color="auto"/>
            <w:bottom w:val="none" w:sz="0" w:space="0" w:color="auto"/>
            <w:right w:val="none" w:sz="0" w:space="0" w:color="auto"/>
          </w:divBdr>
          <w:divsChild>
            <w:div w:id="1402145">
              <w:marLeft w:val="0"/>
              <w:marRight w:val="0"/>
              <w:marTop w:val="0"/>
              <w:marBottom w:val="0"/>
              <w:divBdr>
                <w:top w:val="none" w:sz="0" w:space="0" w:color="auto"/>
                <w:left w:val="none" w:sz="0" w:space="0" w:color="auto"/>
                <w:bottom w:val="none" w:sz="0" w:space="0" w:color="auto"/>
                <w:right w:val="none" w:sz="0" w:space="0" w:color="auto"/>
              </w:divBdr>
              <w:divsChild>
                <w:div w:id="1130827507">
                  <w:marLeft w:val="0"/>
                  <w:marRight w:val="0"/>
                  <w:marTop w:val="0"/>
                  <w:marBottom w:val="0"/>
                  <w:divBdr>
                    <w:top w:val="single" w:sz="6" w:space="15" w:color="E6E6E6"/>
                    <w:left w:val="single" w:sz="6" w:space="15" w:color="E6E6E6"/>
                    <w:bottom w:val="single" w:sz="6" w:space="15" w:color="E6E6E6"/>
                    <w:right w:val="single" w:sz="6" w:space="15" w:color="E6E6E6"/>
                  </w:divBdr>
                  <w:divsChild>
                    <w:div w:id="668870527">
                      <w:marLeft w:val="0"/>
                      <w:marRight w:val="0"/>
                      <w:marTop w:val="0"/>
                      <w:marBottom w:val="0"/>
                      <w:divBdr>
                        <w:top w:val="none" w:sz="0" w:space="0" w:color="auto"/>
                        <w:left w:val="none" w:sz="0" w:space="0" w:color="auto"/>
                        <w:bottom w:val="none" w:sz="0" w:space="0" w:color="auto"/>
                        <w:right w:val="none" w:sz="0" w:space="0" w:color="auto"/>
                      </w:divBdr>
                      <w:divsChild>
                        <w:div w:id="1814903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465323030">
      <w:bodyDiv w:val="1"/>
      <w:marLeft w:val="0"/>
      <w:marRight w:val="0"/>
      <w:marTop w:val="0"/>
      <w:marBottom w:val="0"/>
      <w:divBdr>
        <w:top w:val="none" w:sz="0" w:space="0" w:color="auto"/>
        <w:left w:val="none" w:sz="0" w:space="0" w:color="auto"/>
        <w:bottom w:val="none" w:sz="0" w:space="0" w:color="auto"/>
        <w:right w:val="none" w:sz="0" w:space="0" w:color="auto"/>
      </w:divBdr>
    </w:div>
    <w:div w:id="513499795">
      <w:bodyDiv w:val="1"/>
      <w:marLeft w:val="0"/>
      <w:marRight w:val="0"/>
      <w:marTop w:val="0"/>
      <w:marBottom w:val="0"/>
      <w:divBdr>
        <w:top w:val="none" w:sz="0" w:space="0" w:color="auto"/>
        <w:left w:val="none" w:sz="0" w:space="0" w:color="auto"/>
        <w:bottom w:val="none" w:sz="0" w:space="0" w:color="auto"/>
        <w:right w:val="none" w:sz="0" w:space="0" w:color="auto"/>
      </w:divBdr>
    </w:div>
    <w:div w:id="59822009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762918348">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363432258">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62006784">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5224562">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doi-org.ezproxy.liberty.edu/10.4324/9780429423017"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jarrettmedford/Library/Containers/com.microsoft.Word/Data/Library/Application%20Support/Microsoft/Office/16.0/DTS/Search/%7b6CD126F2-6125-DB47-A29B-616389E4CEE5%7dtf03982351_win3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F9613A47982C1948B8D5FACA0CE163EA"/>
        <w:category>
          <w:name w:val="General"/>
          <w:gallery w:val="placeholder"/>
        </w:category>
        <w:types>
          <w:type w:val="bbPlcHdr"/>
        </w:types>
        <w:behaviors>
          <w:behavior w:val="content"/>
        </w:behaviors>
        <w:guid w:val="{C636E39A-C807-154F-BFC8-C13A6C00F2FF}"/>
      </w:docPartPr>
      <w:docPartBody>
        <w:p w:rsidR="00C83614" w:rsidRDefault="00597029">
          <w:pPr>
            <w:pStyle w:val="F9613A47982C1948B8D5FACA0CE163EA"/>
          </w:pPr>
          <w:r>
            <w:t>[Title Here, up to 12 Words, on One to Two Lines]</w:t>
          </w:r>
        </w:p>
      </w:docPartBody>
    </w:docPart>
    <w:docPart>
      <w:docPartPr>
        <w:name w:val="07E94AB32DF30441929780F358A044DF"/>
        <w:category>
          <w:name w:val="General"/>
          <w:gallery w:val="placeholder"/>
        </w:category>
        <w:types>
          <w:type w:val="bbPlcHdr"/>
        </w:types>
        <w:behaviors>
          <w:behavior w:val="content"/>
        </w:behaviors>
        <w:guid w:val="{CCC00B43-9B4B-F841-A40A-BCD79E0D09BB}"/>
      </w:docPartPr>
      <w:docPartBody>
        <w:p w:rsidR="00C83614" w:rsidRDefault="00597029">
          <w:pPr>
            <w:pStyle w:val="07E94AB32DF30441929780F358A044DF"/>
          </w:pPr>
          <w:r>
            <w:t>Abstract</w:t>
          </w:r>
        </w:p>
      </w:docPartBody>
    </w:docPart>
    <w:docPart>
      <w:docPartPr>
        <w:name w:val="4259EFEE4791CC4AA087E8FD744C98FC"/>
        <w:category>
          <w:name w:val="General"/>
          <w:gallery w:val="placeholder"/>
        </w:category>
        <w:types>
          <w:type w:val="bbPlcHdr"/>
        </w:types>
        <w:behaviors>
          <w:behavior w:val="content"/>
        </w:behaviors>
        <w:guid w:val="{F88D9A06-6843-C448-A5A6-D4C2361190D1}"/>
      </w:docPartPr>
      <w:docPartBody>
        <w:p w:rsidR="00C83614" w:rsidRDefault="00597029">
          <w:pPr>
            <w:pStyle w:val="4259EFEE4791CC4AA087E8FD744C98FC"/>
          </w:pPr>
          <w:r>
            <w:t>[Title Here, up to 12 Words, on One to Two Lines]</w:t>
          </w:r>
        </w:p>
      </w:docPartBody>
    </w:docPart>
    <w:docPart>
      <w:docPartPr>
        <w:name w:val="D974AF9C66F44B4F931FDD804CE48240"/>
        <w:category>
          <w:name w:val="General"/>
          <w:gallery w:val="placeholder"/>
        </w:category>
        <w:types>
          <w:type w:val="bbPlcHdr"/>
        </w:types>
        <w:behaviors>
          <w:behavior w:val="content"/>
        </w:behaviors>
        <w:guid w:val="{3EE9C71C-F2B2-804C-98F5-0FC4B641EFEA}"/>
      </w:docPartPr>
      <w:docPartBody>
        <w:p w:rsidR="00C83614" w:rsidRDefault="00597029">
          <w:pPr>
            <w:pStyle w:val="D974AF9C66F44B4F931FDD804CE48240"/>
          </w:pPr>
          <w:r w:rsidRPr="005D3A03">
            <w:t>Figures title:</w:t>
          </w:r>
        </w:p>
      </w:docPartBody>
    </w:docPart>
    <w:docPart>
      <w:docPartPr>
        <w:name w:val="5D99607D772B984EB3431D8C586916F1"/>
        <w:category>
          <w:name w:val="General"/>
          <w:gallery w:val="placeholder"/>
        </w:category>
        <w:types>
          <w:type w:val="bbPlcHdr"/>
        </w:types>
        <w:behaviors>
          <w:behavior w:val="content"/>
        </w:behaviors>
        <w:guid w:val="{D9A5FCCD-739A-B84F-9DF3-5093110F1629}"/>
      </w:docPartPr>
      <w:docPartBody>
        <w:p w:rsidR="00C83614" w:rsidRDefault="00597029">
          <w:pPr>
            <w:pStyle w:val="5D99607D772B984EB3431D8C586916F1"/>
          </w:pPr>
          <w:r>
            <w:t>[Include all figures in their own section, following references (and footnotes and tables, if applicable).  Include a numbered caption for each figure.  Use the Table/Figure style for easy spacing between figure and caption.]</w:t>
          </w:r>
        </w:p>
      </w:docPartBody>
    </w:docPart>
    <w:docPart>
      <w:docPartPr>
        <w:name w:val="FDDF7B6CE39B184FB03DED94E234749F"/>
        <w:category>
          <w:name w:val="General"/>
          <w:gallery w:val="placeholder"/>
        </w:category>
        <w:types>
          <w:type w:val="bbPlcHdr"/>
        </w:types>
        <w:behaviors>
          <w:behavior w:val="content"/>
        </w:behaviors>
        <w:guid w:val="{2B5F76AD-C16F-4940-9899-0F4BFFA3EC39}"/>
      </w:docPartPr>
      <w:docPartBody>
        <w:p w:rsidR="00000000" w:rsidRDefault="00C83614" w:rsidP="00C83614">
          <w:pPr>
            <w:pStyle w:val="FDDF7B6CE39B184FB03DED94E234749F"/>
          </w:pPr>
          <w:r>
            <w:t>[Title Here, up to 12 Words, on One to Two Lines]</w:t>
          </w:r>
        </w:p>
      </w:docPartBody>
    </w:docPart>
    <w:docPart>
      <w:docPartPr>
        <w:name w:val="62EA4A6F94239042889050E2A5E41573"/>
        <w:category>
          <w:name w:val="General"/>
          <w:gallery w:val="placeholder"/>
        </w:category>
        <w:types>
          <w:type w:val="bbPlcHdr"/>
        </w:types>
        <w:behaviors>
          <w:behavior w:val="content"/>
        </w:behaviors>
        <w:guid w:val="{F658FD88-85AD-7C40-A698-D6C51C4EB485}"/>
      </w:docPartPr>
      <w:docPartBody>
        <w:p w:rsidR="00000000" w:rsidRDefault="00C83614" w:rsidP="00C83614">
          <w:pPr>
            <w:pStyle w:val="62EA4A6F94239042889050E2A5E41573"/>
          </w:pPr>
          <w:r>
            <w:t>[Title Here, up to 12 Words, on One to Two Lines]</w:t>
          </w:r>
        </w:p>
      </w:docPartBody>
    </w:docPart>
    <w:docPart>
      <w:docPartPr>
        <w:name w:val="5FE5EEAD3B5DA340B29169619C39FDA7"/>
        <w:category>
          <w:name w:val="General"/>
          <w:gallery w:val="placeholder"/>
        </w:category>
        <w:types>
          <w:type w:val="bbPlcHdr"/>
        </w:types>
        <w:behaviors>
          <w:behavior w:val="content"/>
        </w:behaviors>
        <w:guid w:val="{B007EA8D-6028-8B40-998A-5D500E03C8BB}"/>
      </w:docPartPr>
      <w:docPartBody>
        <w:p w:rsidR="00000000" w:rsidRDefault="00C83614" w:rsidP="00C83614">
          <w:pPr>
            <w:pStyle w:val="5FE5EEAD3B5DA340B29169619C39FDA7"/>
          </w:pPr>
          <w:r>
            <w:t>[Title Here, up to 12 Words, on One to Two Lines]</w:t>
          </w:r>
        </w:p>
      </w:docPartBody>
    </w:docPart>
    <w:docPart>
      <w:docPartPr>
        <w:name w:val="EEB1CC4A0D308D42B57567C76ECC47A7"/>
        <w:category>
          <w:name w:val="General"/>
          <w:gallery w:val="placeholder"/>
        </w:category>
        <w:types>
          <w:type w:val="bbPlcHdr"/>
        </w:types>
        <w:behaviors>
          <w:behavior w:val="content"/>
        </w:behaviors>
        <w:guid w:val="{5667D516-41DC-4843-BAEE-45C8B7AB3F6C}"/>
      </w:docPartPr>
      <w:docPartBody>
        <w:p w:rsidR="00000000" w:rsidRDefault="00C83614" w:rsidP="00C83614">
          <w:pPr>
            <w:pStyle w:val="EEB1CC4A0D308D42B57567C76ECC47A7"/>
          </w:pPr>
          <w:r>
            <w:t>[Title Here, up to 12 Words, on One to Two Lines]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604020202020204"/>
    <w:charset w:val="00"/>
    <w:family w:val="swiss"/>
    <w:notTrueType/>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029"/>
    <w:rsid w:val="00597029"/>
    <w:rsid w:val="00603B48"/>
    <w:rsid w:val="00C836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9613A47982C1948B8D5FACA0CE163EA">
    <w:name w:val="F9613A47982C1948B8D5FACA0CE163EA"/>
  </w:style>
  <w:style w:type="paragraph" w:customStyle="1" w:styleId="FDDF7B6CE39B184FB03DED94E234749F">
    <w:name w:val="FDDF7B6CE39B184FB03DED94E234749F"/>
    <w:rsid w:val="00C83614"/>
  </w:style>
  <w:style w:type="paragraph" w:customStyle="1" w:styleId="62EA4A6F94239042889050E2A5E41573">
    <w:name w:val="62EA4A6F94239042889050E2A5E41573"/>
    <w:rsid w:val="00C83614"/>
  </w:style>
  <w:style w:type="paragraph" w:customStyle="1" w:styleId="5FE5EEAD3B5DA340B29169619C39FDA7">
    <w:name w:val="5FE5EEAD3B5DA340B29169619C39FDA7"/>
    <w:rsid w:val="00C83614"/>
  </w:style>
  <w:style w:type="paragraph" w:customStyle="1" w:styleId="EEB1CC4A0D308D42B57567C76ECC47A7">
    <w:name w:val="EEB1CC4A0D308D42B57567C76ECC47A7"/>
    <w:rsid w:val="00C83614"/>
  </w:style>
  <w:style w:type="paragraph" w:customStyle="1" w:styleId="07E94AB32DF30441929780F358A044DF">
    <w:name w:val="07E94AB32DF30441929780F358A044DF"/>
  </w:style>
  <w:style w:type="character" w:styleId="Emphasis">
    <w:name w:val="Emphasis"/>
    <w:basedOn w:val="DefaultParagraphFont"/>
    <w:uiPriority w:val="4"/>
    <w:unhideWhenUsed/>
    <w:qFormat/>
    <w:rPr>
      <w:i/>
      <w:iCs/>
    </w:rPr>
  </w:style>
  <w:style w:type="paragraph" w:customStyle="1" w:styleId="4259EFEE4791CC4AA087E8FD744C98FC">
    <w:name w:val="4259EFEE4791CC4AA087E8FD744C98FC"/>
  </w:style>
  <w:style w:type="paragraph" w:customStyle="1" w:styleId="D974AF9C66F44B4F931FDD804CE48240">
    <w:name w:val="D974AF9C66F44B4F931FDD804CE48240"/>
  </w:style>
  <w:style w:type="paragraph" w:customStyle="1" w:styleId="5D99607D772B984EB3431D8C586916F1">
    <w:name w:val="5D99607D772B984EB3431D8C586916F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Jarrett’s developmental analysis</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2DBADFB-1DDD-494B-BD57-A57FFC80C6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{6CD126F2-6125-DB47-A29B-616389E4CEE5}tf03982351_win32.dotx</Template>
  <TotalTime>0</TotalTime>
  <Pages>21</Pages>
  <Words>3832</Words>
  <Characters>21847</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Benchmark</dc:title>
  <dc:subject/>
  <dc:creator>Microsoft Office User</dc:creator>
  <cp:keywords/>
  <dc:description/>
  <cp:lastModifiedBy>Medford, Jarrett Inge</cp:lastModifiedBy>
  <cp:revision>2</cp:revision>
  <dcterms:created xsi:type="dcterms:W3CDTF">2024-03-04T15:41:00Z</dcterms:created>
  <dcterms:modified xsi:type="dcterms:W3CDTF">2024-03-04T15:41:00Z</dcterms:modified>
</cp:coreProperties>
</file>