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49A8D3" w14:textId="658033FB" w:rsidR="00743D50" w:rsidRDefault="00A92077" w:rsidP="00694E17">
      <w:pPr>
        <w:jc w:val="center"/>
      </w:pPr>
    </w:p>
    <w:p w14:paraId="0257109C" w14:textId="6124DDC7" w:rsidR="00694E17" w:rsidRDefault="00694E17" w:rsidP="00694E17">
      <w:pPr>
        <w:jc w:val="center"/>
      </w:pPr>
    </w:p>
    <w:p w14:paraId="5E5D0278" w14:textId="3134AB02" w:rsidR="00694E17" w:rsidRDefault="00694E17" w:rsidP="00694E17">
      <w:pPr>
        <w:jc w:val="center"/>
      </w:pPr>
    </w:p>
    <w:p w14:paraId="4C913767" w14:textId="73D6C810" w:rsidR="00694E17" w:rsidRPr="00694E17" w:rsidRDefault="00694E17" w:rsidP="00694E17">
      <w:pPr>
        <w:spacing w:line="480" w:lineRule="auto"/>
        <w:jc w:val="center"/>
        <w:rPr>
          <w:rFonts w:ascii="Times New Roman" w:hAnsi="Times New Roman" w:cs="Times New Roman"/>
        </w:rPr>
      </w:pPr>
      <w:r w:rsidRPr="00694E17">
        <w:rPr>
          <w:rFonts w:ascii="Times New Roman" w:hAnsi="Times New Roman" w:cs="Times New Roman"/>
          <w:b/>
          <w:bCs/>
        </w:rPr>
        <w:t>Benchmark Critical Incident Paper</w:t>
      </w:r>
    </w:p>
    <w:p w14:paraId="11C5F059" w14:textId="71A23469" w:rsidR="00694E17" w:rsidRPr="00694E17" w:rsidRDefault="00694E17" w:rsidP="00694E17">
      <w:pPr>
        <w:spacing w:line="480" w:lineRule="auto"/>
        <w:jc w:val="center"/>
        <w:rPr>
          <w:rFonts w:ascii="Times New Roman" w:hAnsi="Times New Roman" w:cs="Times New Roman"/>
        </w:rPr>
      </w:pPr>
    </w:p>
    <w:p w14:paraId="76C1952E" w14:textId="0FD293C8" w:rsidR="00694E17" w:rsidRPr="00694E17" w:rsidRDefault="00694E17" w:rsidP="00694E17">
      <w:pPr>
        <w:spacing w:line="480" w:lineRule="auto"/>
        <w:jc w:val="center"/>
        <w:rPr>
          <w:rFonts w:ascii="Times New Roman" w:hAnsi="Times New Roman" w:cs="Times New Roman"/>
        </w:rPr>
      </w:pPr>
      <w:r w:rsidRPr="00694E17">
        <w:rPr>
          <w:rFonts w:ascii="Times New Roman" w:hAnsi="Times New Roman" w:cs="Times New Roman"/>
        </w:rPr>
        <w:t>Jarrett Medford</w:t>
      </w:r>
    </w:p>
    <w:p w14:paraId="1C7C232B" w14:textId="2FF77FEE" w:rsidR="00694E17" w:rsidRPr="00694E17" w:rsidRDefault="00694E17" w:rsidP="00694E17">
      <w:pPr>
        <w:spacing w:line="480" w:lineRule="auto"/>
        <w:jc w:val="center"/>
        <w:rPr>
          <w:rFonts w:ascii="Times New Roman" w:hAnsi="Times New Roman" w:cs="Times New Roman"/>
        </w:rPr>
      </w:pPr>
      <w:r w:rsidRPr="00694E17">
        <w:rPr>
          <w:rFonts w:ascii="Times New Roman" w:hAnsi="Times New Roman" w:cs="Times New Roman"/>
        </w:rPr>
        <w:t>Liberty University Online</w:t>
      </w:r>
    </w:p>
    <w:p w14:paraId="44F39FF5" w14:textId="0FC6CB46" w:rsidR="00694E17" w:rsidRPr="00694E17" w:rsidRDefault="00694E17" w:rsidP="00694E17">
      <w:pPr>
        <w:spacing w:line="480" w:lineRule="auto"/>
        <w:jc w:val="center"/>
        <w:rPr>
          <w:rFonts w:ascii="Times New Roman" w:hAnsi="Times New Roman" w:cs="Times New Roman"/>
        </w:rPr>
      </w:pPr>
      <w:r w:rsidRPr="00694E17">
        <w:rPr>
          <w:rFonts w:ascii="Times New Roman" w:hAnsi="Times New Roman" w:cs="Times New Roman"/>
        </w:rPr>
        <w:t>COSC 512-360</w:t>
      </w:r>
    </w:p>
    <w:p w14:paraId="5870F3BA" w14:textId="733050CB" w:rsidR="00694E17" w:rsidRPr="00694E17" w:rsidRDefault="00694E17" w:rsidP="00694E17">
      <w:pPr>
        <w:spacing w:line="480" w:lineRule="auto"/>
        <w:jc w:val="center"/>
        <w:rPr>
          <w:rFonts w:ascii="Times New Roman" w:hAnsi="Times New Roman" w:cs="Times New Roman"/>
        </w:rPr>
      </w:pPr>
      <w:r w:rsidRPr="00694E17">
        <w:rPr>
          <w:rFonts w:ascii="Times New Roman" w:hAnsi="Times New Roman" w:cs="Times New Roman"/>
        </w:rPr>
        <w:t xml:space="preserve">Dr. </w:t>
      </w:r>
      <w:proofErr w:type="spellStart"/>
      <w:r w:rsidRPr="00694E17">
        <w:rPr>
          <w:rFonts w:ascii="Times New Roman" w:hAnsi="Times New Roman" w:cs="Times New Roman"/>
        </w:rPr>
        <w:t>Hannor</w:t>
      </w:r>
      <w:proofErr w:type="spellEnd"/>
      <w:r w:rsidRPr="00694E17">
        <w:rPr>
          <w:rFonts w:ascii="Times New Roman" w:hAnsi="Times New Roman" w:cs="Times New Roman"/>
        </w:rPr>
        <w:t>/Walker</w:t>
      </w:r>
    </w:p>
    <w:p w14:paraId="538F9F71" w14:textId="1F987F3F" w:rsidR="00694E17" w:rsidRDefault="00694E17" w:rsidP="00694E17">
      <w:pPr>
        <w:spacing w:line="480" w:lineRule="auto"/>
        <w:jc w:val="center"/>
        <w:rPr>
          <w:rFonts w:ascii="Times New Roman" w:hAnsi="Times New Roman" w:cs="Times New Roman"/>
        </w:rPr>
      </w:pPr>
      <w:r w:rsidRPr="00694E17">
        <w:rPr>
          <w:rFonts w:ascii="Times New Roman" w:hAnsi="Times New Roman" w:cs="Times New Roman"/>
        </w:rPr>
        <w:t>July 17</w:t>
      </w:r>
      <w:r w:rsidRPr="00694E17">
        <w:rPr>
          <w:rFonts w:ascii="Times New Roman" w:hAnsi="Times New Roman" w:cs="Times New Roman"/>
          <w:vertAlign w:val="superscript"/>
        </w:rPr>
        <w:t>th</w:t>
      </w:r>
      <w:r w:rsidRPr="00694E17">
        <w:rPr>
          <w:rFonts w:ascii="Times New Roman" w:hAnsi="Times New Roman" w:cs="Times New Roman"/>
        </w:rPr>
        <w:t>, 2022</w:t>
      </w:r>
    </w:p>
    <w:p w14:paraId="38566556" w14:textId="657A58BA" w:rsidR="00694E17" w:rsidRDefault="00694E17">
      <w:pPr>
        <w:rPr>
          <w:rFonts w:ascii="Times New Roman" w:hAnsi="Times New Roman" w:cs="Times New Roman"/>
        </w:rPr>
      </w:pPr>
      <w:r>
        <w:rPr>
          <w:rFonts w:ascii="Times New Roman" w:hAnsi="Times New Roman" w:cs="Times New Roman"/>
        </w:rPr>
        <w:br w:type="page"/>
      </w:r>
    </w:p>
    <w:p w14:paraId="21AAB229" w14:textId="2CB47F43" w:rsidR="00694E17" w:rsidRDefault="00694E17" w:rsidP="00694E17">
      <w:pPr>
        <w:spacing w:line="480" w:lineRule="auto"/>
        <w:jc w:val="center"/>
        <w:rPr>
          <w:rFonts w:ascii="Times New Roman" w:hAnsi="Times New Roman" w:cs="Times New Roman"/>
        </w:rPr>
      </w:pPr>
      <w:r>
        <w:rPr>
          <w:rFonts w:ascii="Times New Roman" w:hAnsi="Times New Roman" w:cs="Times New Roman"/>
          <w:b/>
          <w:bCs/>
        </w:rPr>
        <w:lastRenderedPageBreak/>
        <w:t>What is the Issue?</w:t>
      </w:r>
    </w:p>
    <w:p w14:paraId="2382E9E2" w14:textId="381C8D2D" w:rsidR="00694E17" w:rsidRDefault="00694E17" w:rsidP="00694E17">
      <w:pPr>
        <w:spacing w:line="480" w:lineRule="auto"/>
        <w:rPr>
          <w:rFonts w:ascii="Times New Roman" w:hAnsi="Times New Roman" w:cs="Times New Roman"/>
        </w:rPr>
      </w:pPr>
      <w:r>
        <w:rPr>
          <w:rFonts w:ascii="Times New Roman" w:hAnsi="Times New Roman" w:cs="Times New Roman"/>
        </w:rPr>
        <w:tab/>
        <w:t xml:space="preserve">Jack seems to be a fresh counselor in the field and is attempting to be thorough. This is shown through meticulous screening and informed consent before the group. However, having a mixed gendered group of students who need assistance in anger/conflict resolution may not be the best idea if </w:t>
      </w:r>
      <w:r w:rsidR="002946EF">
        <w:rPr>
          <w:rFonts w:ascii="Times New Roman" w:hAnsi="Times New Roman" w:cs="Times New Roman"/>
        </w:rPr>
        <w:t xml:space="preserve">possible, to be avoided. Since he has chosen a mixed gendered group, one of the aspects of the group should be honoring and respecting the other group members. Set a standard that any harassment in the group will not be tolerated because it can hurt members of the group. It seems that Jack did not set those standards in group and just jumped right into material because it was not mentioned in the scenario. The sexual harassment was reported to Jack by Carol six weeks into group, it is unknown when the harassment started, which means it could have been since the beginning. Since Jack did not react to the complaint given to him by Carol, the student took action herself by removing herself from the group because that group then transitioned into being harmful for the student to be present in the group. Jack ignoring the complaint was harmful to Carol and the comfortability of the group. Since Jack did not investigate it is unknown if other female group members were being harassed or not, how long the behavior has been going on and even the extent of the behavior. Behaviorally, the male group members who had been harassing Carol now can feel empowered or proud of himself that he drove a female out of the group and no person stood in the way of him or explained the seriousness of his behavior or any consequences. The extent of the amount of harm done within the group is unknown and can stretch farther than just Carol and because Jack ignored the complaint it could be detrimental to the group and Carol. </w:t>
      </w:r>
    </w:p>
    <w:p w14:paraId="72820998" w14:textId="2A10E2C5" w:rsidR="002946EF" w:rsidRDefault="002946EF" w:rsidP="002946EF">
      <w:pPr>
        <w:spacing w:line="480" w:lineRule="auto"/>
        <w:jc w:val="center"/>
        <w:rPr>
          <w:rFonts w:ascii="Times New Roman" w:hAnsi="Times New Roman" w:cs="Times New Roman"/>
          <w:b/>
          <w:bCs/>
        </w:rPr>
      </w:pPr>
      <w:r>
        <w:rPr>
          <w:rFonts w:ascii="Times New Roman" w:hAnsi="Times New Roman" w:cs="Times New Roman"/>
          <w:b/>
          <w:bCs/>
        </w:rPr>
        <w:t>Summarization of Ethics</w:t>
      </w:r>
    </w:p>
    <w:p w14:paraId="64D87236" w14:textId="4AA05027" w:rsidR="002946EF" w:rsidRDefault="002946EF" w:rsidP="002946EF">
      <w:pPr>
        <w:spacing w:line="480" w:lineRule="auto"/>
        <w:rPr>
          <w:rFonts w:ascii="Times New Roman" w:hAnsi="Times New Roman" w:cs="Times New Roman"/>
        </w:rPr>
      </w:pPr>
      <w:r>
        <w:rPr>
          <w:rFonts w:ascii="Times New Roman" w:hAnsi="Times New Roman" w:cs="Times New Roman"/>
          <w:b/>
          <w:bCs/>
        </w:rPr>
        <w:lastRenderedPageBreak/>
        <w:tab/>
      </w:r>
      <w:r>
        <w:rPr>
          <w:rFonts w:ascii="Times New Roman" w:hAnsi="Times New Roman" w:cs="Times New Roman"/>
        </w:rPr>
        <w:t xml:space="preserve">The </w:t>
      </w:r>
      <w:r w:rsidR="00B56E5D">
        <w:rPr>
          <w:rFonts w:ascii="Times New Roman" w:hAnsi="Times New Roman" w:cs="Times New Roman"/>
        </w:rPr>
        <w:t xml:space="preserve">first </w:t>
      </w:r>
      <w:r>
        <w:rPr>
          <w:rFonts w:ascii="Times New Roman" w:hAnsi="Times New Roman" w:cs="Times New Roman"/>
        </w:rPr>
        <w:t>standard set forth by the ACA Code of Ethics states in section C</w:t>
      </w:r>
      <w:r w:rsidR="00B56E5D">
        <w:rPr>
          <w:rFonts w:ascii="Times New Roman" w:hAnsi="Times New Roman" w:cs="Times New Roman"/>
        </w:rPr>
        <w:t xml:space="preserve">. 6. A., counselors do not condone sexual harassment (2014). Jack ignoring the complaint is indirectly condoning sexual harassment since no action was taken. A deeper statement is made in section F. 10. B. saying that counselors are to not condone or subject students to sexual harassment and technically Jack has condoned and subjected Carol to sexual harassment (2014). In the ASCA Code of Ethics, it is required of Jack to document in the students’ records the report of sexual harassment as section A. 13. F. states that student records may contain sexual harassment documentation (2022). In group work, it is important for a school counselor to create equal access to groups and removing obstacles as mentioned in section A. 7. </w:t>
      </w:r>
      <w:r w:rsidR="008275CE">
        <w:rPr>
          <w:rFonts w:ascii="Times New Roman" w:hAnsi="Times New Roman" w:cs="Times New Roman"/>
        </w:rPr>
        <w:t xml:space="preserve">B. (2022). The sexual harassment is an obstacle for Carol’s equal participation in the group. Also, in this section, A. 7. </w:t>
      </w:r>
      <w:proofErr w:type="gramStart"/>
      <w:r w:rsidR="008275CE">
        <w:rPr>
          <w:rFonts w:ascii="Times New Roman" w:hAnsi="Times New Roman" w:cs="Times New Roman"/>
        </w:rPr>
        <w:t>I.,</w:t>
      </w:r>
      <w:proofErr w:type="gramEnd"/>
      <w:r w:rsidR="008275CE">
        <w:rPr>
          <w:rFonts w:ascii="Times New Roman" w:hAnsi="Times New Roman" w:cs="Times New Roman"/>
        </w:rPr>
        <w:t xml:space="preserve"> explains that the counselor should select topics that will not result in harm as a result of the interactions within the group. Therefore, placing several student in a group to discuss anger and being a mixed gender group can make achieving this challenging. Furthermore, in section A. 9. A, the counselor is obligated to inform parents and administration of harmful conduct that poses risk to a student (2022). Jack is mandated to report the male group members actions to his parents, Carol’s parents, and administration since the harmful conduct took place on school property and is bound by the same discipline protocols. Section A. 9. C. states that the counselor can collaborate with administration to ensure supervision of Carol and the male group member can be done during the school day so that everyone is aware of the situation (2022). Open communication and accountability are important to success with students. </w:t>
      </w:r>
    </w:p>
    <w:p w14:paraId="4218429A" w14:textId="0EDC9B3F" w:rsidR="008275CE" w:rsidRDefault="008275CE" w:rsidP="008275CE">
      <w:pPr>
        <w:spacing w:line="480" w:lineRule="auto"/>
        <w:jc w:val="center"/>
        <w:rPr>
          <w:rFonts w:ascii="Times New Roman" w:hAnsi="Times New Roman" w:cs="Times New Roman"/>
        </w:rPr>
      </w:pPr>
      <w:r>
        <w:rPr>
          <w:rFonts w:ascii="Times New Roman" w:hAnsi="Times New Roman" w:cs="Times New Roman"/>
          <w:b/>
          <w:bCs/>
        </w:rPr>
        <w:t>Action</w:t>
      </w:r>
    </w:p>
    <w:p w14:paraId="403C6BDF" w14:textId="0A56C664" w:rsidR="008275CE" w:rsidRDefault="008275CE" w:rsidP="008275CE">
      <w:pPr>
        <w:spacing w:line="480" w:lineRule="auto"/>
        <w:rPr>
          <w:rFonts w:ascii="Times New Roman" w:hAnsi="Times New Roman" w:cs="Times New Roman"/>
        </w:rPr>
      </w:pPr>
      <w:r>
        <w:rPr>
          <w:rFonts w:ascii="Times New Roman" w:hAnsi="Times New Roman" w:cs="Times New Roman"/>
        </w:rPr>
        <w:tab/>
        <w:t xml:space="preserve">First action is to not ignore Carol’s complaint of sexual harassment from the male student. It is a serious matter and Jack can be held accountable for not taking action. Jack is </w:t>
      </w:r>
      <w:r>
        <w:rPr>
          <w:rFonts w:ascii="Times New Roman" w:hAnsi="Times New Roman" w:cs="Times New Roman"/>
        </w:rPr>
        <w:lastRenderedPageBreak/>
        <w:t xml:space="preserve">obligated to report this harassment to Carol’s parents and also report the activity to the </w:t>
      </w:r>
      <w:r w:rsidR="00133731">
        <w:rPr>
          <w:rFonts w:ascii="Times New Roman" w:hAnsi="Times New Roman" w:cs="Times New Roman"/>
        </w:rPr>
        <w:t xml:space="preserve">male students’ parents. The male student is bound by school disciplinary standards and must adhere to them in counseling settings making the student also bound to consequences set forth by the school. Jack needs to not bring the report up to the group for several reasons. It is a private matter on Carol’s part, calling out a student for sexual harassment in a group setting is also not a conflict resolution strategy. Jack needs to set standards with the group as soon as possible and have conversations about respecting others and that their actions outside of the group are important to their participation. These conversations can validate Carol’s feelings and make her feel more comfortable in the group again. This could have prevented Carol’s departure from the group. The course of action in regard to the male student who </w:t>
      </w:r>
      <w:r w:rsidR="00BB4600">
        <w:rPr>
          <w:rFonts w:ascii="Times New Roman" w:hAnsi="Times New Roman" w:cs="Times New Roman"/>
        </w:rPr>
        <w:t xml:space="preserve">has been accused of sexual harassment. This accusation is not confirmed; however, </w:t>
      </w:r>
      <w:r w:rsidR="00267342">
        <w:rPr>
          <w:rFonts w:ascii="Times New Roman" w:hAnsi="Times New Roman" w:cs="Times New Roman"/>
        </w:rPr>
        <w:t xml:space="preserve">Carol’s feelings still need to be validated. The counselor can speak to the male student privately and present the accusation to the student and give him a chance to speak on behalf of himself. Next, the counselor must collaborate with the administration to determine the next source of action. Some schools may have different protocols regarding sexual harassment amongst group members and often there is an investigation involved. If the accusations are true, the male student will likely be removed from the group and be given the resources he needs given the mistakes he has made. He needs to be one on one with a counselor to discuss these matters and it is up to the discretion of parents, admin and the counseling department of whether the student can work with Jack in those one on one sessions. All events need to be documented </w:t>
      </w:r>
      <w:r w:rsidR="005A1098">
        <w:rPr>
          <w:rFonts w:ascii="Times New Roman" w:hAnsi="Times New Roman" w:cs="Times New Roman"/>
        </w:rPr>
        <w:t xml:space="preserve">throughout this process. </w:t>
      </w:r>
    </w:p>
    <w:p w14:paraId="3E059BC8" w14:textId="78361CFF" w:rsidR="00A6616E" w:rsidRDefault="00A6616E">
      <w:pPr>
        <w:rPr>
          <w:rFonts w:ascii="Times New Roman" w:hAnsi="Times New Roman" w:cs="Times New Roman"/>
        </w:rPr>
      </w:pPr>
      <w:r>
        <w:rPr>
          <w:rFonts w:ascii="Times New Roman" w:hAnsi="Times New Roman" w:cs="Times New Roman"/>
        </w:rPr>
        <w:br w:type="page"/>
      </w:r>
    </w:p>
    <w:p w14:paraId="4F035E91" w14:textId="5B3BC930" w:rsidR="00A6616E" w:rsidRDefault="00A6616E" w:rsidP="00A6616E">
      <w:pPr>
        <w:spacing w:line="480" w:lineRule="auto"/>
        <w:jc w:val="center"/>
        <w:rPr>
          <w:rFonts w:ascii="Times New Roman" w:hAnsi="Times New Roman" w:cs="Times New Roman"/>
        </w:rPr>
      </w:pPr>
      <w:r>
        <w:rPr>
          <w:rFonts w:ascii="Times New Roman" w:hAnsi="Times New Roman" w:cs="Times New Roman"/>
        </w:rPr>
        <w:lastRenderedPageBreak/>
        <w:t>References</w:t>
      </w:r>
    </w:p>
    <w:p w14:paraId="5200C2D5" w14:textId="3D46CE93" w:rsidR="00A6616E" w:rsidRPr="00A6616E" w:rsidRDefault="00A6616E" w:rsidP="00A6616E">
      <w:pPr>
        <w:pStyle w:val="NormalWeb"/>
        <w:spacing w:line="480" w:lineRule="auto"/>
        <w:ind w:left="567" w:hanging="567"/>
      </w:pPr>
      <w:proofErr w:type="spellStart"/>
      <w:r>
        <w:rPr>
          <w:i/>
          <w:iCs/>
        </w:rPr>
        <w:t>Asca</w:t>
      </w:r>
      <w:proofErr w:type="spellEnd"/>
      <w:r>
        <w:rPr>
          <w:i/>
          <w:iCs/>
        </w:rPr>
        <w:t xml:space="preserve"> ethical standards for school counselors</w:t>
      </w:r>
      <w:r>
        <w:t xml:space="preserve">. (n.d.). Retrieved July 19, 2022, from https://www.schoolcounselor.org/getmedia/f041cbd0-7004-47a5-ba01-3a5d657c6743/Ethical-Standards.pdf </w:t>
      </w:r>
    </w:p>
    <w:p w14:paraId="1177126D" w14:textId="7A2BFB75" w:rsidR="00A6616E" w:rsidRDefault="00A6616E" w:rsidP="00A6616E">
      <w:pPr>
        <w:pStyle w:val="NormalWeb"/>
        <w:spacing w:line="480" w:lineRule="auto"/>
        <w:ind w:left="567" w:hanging="567"/>
      </w:pPr>
      <w:r>
        <w:rPr>
          <w:i/>
          <w:iCs/>
        </w:rPr>
        <w:t>2014 code of Ethics - American Counseling Association</w:t>
      </w:r>
      <w:r>
        <w:t xml:space="preserve">. (n.d.). Retrieved July 19, 2022, from </w:t>
      </w:r>
      <w:hyperlink r:id="rId7" w:history="1">
        <w:r w:rsidR="00C67B65" w:rsidRPr="00534551">
          <w:rPr>
            <w:rStyle w:val="Hyperlink"/>
          </w:rPr>
          <w:t>https://www.counseling.org/resources/aca-code-of-ethics.pdf</w:t>
        </w:r>
      </w:hyperlink>
      <w:r>
        <w:t xml:space="preserve"> </w:t>
      </w:r>
    </w:p>
    <w:p w14:paraId="188B696F" w14:textId="045AC3A0" w:rsidR="00C67B65" w:rsidRDefault="00C67B65">
      <w:pPr>
        <w:rPr>
          <w:rFonts w:ascii="Times New Roman" w:eastAsia="Times New Roman" w:hAnsi="Times New Roman" w:cs="Times New Roman"/>
          <w:i/>
          <w:iCs/>
        </w:rPr>
      </w:pPr>
      <w:r>
        <w:rPr>
          <w:i/>
          <w:iCs/>
        </w:rPr>
        <w:br w:type="page"/>
      </w:r>
    </w:p>
    <w:p w14:paraId="290F7804" w14:textId="77777777" w:rsidR="00C67B65" w:rsidRDefault="00C67B65" w:rsidP="00A6616E">
      <w:pPr>
        <w:pStyle w:val="NormalWeb"/>
        <w:spacing w:line="480" w:lineRule="auto"/>
        <w:ind w:left="567" w:hanging="567"/>
      </w:pPr>
    </w:p>
    <w:p w14:paraId="180A7526" w14:textId="77777777" w:rsidR="00C67B65" w:rsidRDefault="00C67B65">
      <w:pPr>
        <w:jc w:val="center"/>
        <w:rPr>
          <w:b/>
          <w:u w:val="single"/>
        </w:rPr>
      </w:pPr>
      <w:r>
        <w:rPr>
          <w:b/>
          <w:u w:val="single"/>
        </w:rPr>
        <w:t>Psychoeducational Group Worksheet</w:t>
      </w:r>
    </w:p>
    <w:p w14:paraId="643CFE2E" w14:textId="77777777" w:rsidR="00C67B65" w:rsidRDefault="00C67B65">
      <w:pPr>
        <w:jc w:val="center"/>
      </w:pPr>
    </w:p>
    <w:tbl>
      <w:tblPr>
        <w:tblW w:w="1096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5"/>
        <w:gridCol w:w="7593"/>
      </w:tblGrid>
      <w:tr w:rsidR="00C67B65" w14:paraId="28B5EBB1" w14:textId="77777777">
        <w:trPr>
          <w:trHeight w:val="762"/>
        </w:trPr>
        <w:tc>
          <w:tcPr>
            <w:tcW w:w="3375" w:type="dxa"/>
          </w:tcPr>
          <w:p w14:paraId="12F02094" w14:textId="77777777" w:rsidR="00C67B65" w:rsidRDefault="00C67B65">
            <w:r>
              <w:t>PURPOSE</w:t>
            </w:r>
          </w:p>
        </w:tc>
        <w:tc>
          <w:tcPr>
            <w:tcW w:w="7593" w:type="dxa"/>
          </w:tcPr>
          <w:p w14:paraId="211E7687" w14:textId="77777777" w:rsidR="00C67B65" w:rsidRDefault="00C67B65">
            <w:r>
              <w:t>LEADER/ACTIVITY</w:t>
            </w:r>
          </w:p>
        </w:tc>
      </w:tr>
      <w:tr w:rsidR="00C67B65" w14:paraId="5323768C" w14:textId="77777777">
        <w:trPr>
          <w:trHeight w:val="848"/>
        </w:trPr>
        <w:tc>
          <w:tcPr>
            <w:tcW w:w="3375" w:type="dxa"/>
          </w:tcPr>
          <w:p w14:paraId="661FA630" w14:textId="77777777" w:rsidR="00C67B65" w:rsidRDefault="00C67B65">
            <w:pPr>
              <w:rPr>
                <w:sz w:val="20"/>
                <w:szCs w:val="20"/>
              </w:rPr>
            </w:pPr>
            <w:r>
              <w:t>Welcome/Introduce Leaders</w:t>
            </w:r>
          </w:p>
        </w:tc>
        <w:tc>
          <w:tcPr>
            <w:tcW w:w="7593" w:type="dxa"/>
          </w:tcPr>
          <w:p w14:paraId="673764D0" w14:textId="77777777" w:rsidR="00C67B65" w:rsidRDefault="00C67B65">
            <w:r>
              <w:t>Megan McCaskey and Jarrett Medford. Jarrett will do the introduction with confidentiality and group norms.</w:t>
            </w:r>
          </w:p>
        </w:tc>
      </w:tr>
      <w:tr w:rsidR="00C67B65" w14:paraId="1A91517E" w14:textId="77777777">
        <w:trPr>
          <w:trHeight w:val="1437"/>
        </w:trPr>
        <w:tc>
          <w:tcPr>
            <w:tcW w:w="3375" w:type="dxa"/>
          </w:tcPr>
          <w:p w14:paraId="1287C3C9" w14:textId="77777777" w:rsidR="00C67B65" w:rsidRDefault="00C67B65">
            <w:r>
              <w:t>2-3 minute Icebreaker that relates to topic</w:t>
            </w:r>
          </w:p>
        </w:tc>
        <w:tc>
          <w:tcPr>
            <w:tcW w:w="7593" w:type="dxa"/>
          </w:tcPr>
          <w:p w14:paraId="7D6EB136" w14:textId="77777777" w:rsidR="00C67B65" w:rsidRDefault="00C67B65">
            <w:r>
              <w:t>Pick a movie theme for your life. Megan does the icebreaker. This will lead into the content for this meeting.</w:t>
            </w:r>
          </w:p>
        </w:tc>
      </w:tr>
      <w:tr w:rsidR="00C67B65" w14:paraId="7E3BD946" w14:textId="77777777">
        <w:trPr>
          <w:trHeight w:val="795"/>
        </w:trPr>
        <w:tc>
          <w:tcPr>
            <w:tcW w:w="3375" w:type="dxa"/>
          </w:tcPr>
          <w:p w14:paraId="53EFFF67" w14:textId="77777777" w:rsidR="00C67B65" w:rsidRDefault="00C67B65">
            <w:r>
              <w:t>1 minute Transition (Introduce topic)</w:t>
            </w:r>
          </w:p>
        </w:tc>
        <w:tc>
          <w:tcPr>
            <w:tcW w:w="7593" w:type="dxa"/>
          </w:tcPr>
          <w:p w14:paraId="3925E7D6" w14:textId="77777777" w:rsidR="00C67B65" w:rsidRDefault="00C67B65">
            <w:r>
              <w:t>Social Emotional Skills. Go to Allender text with chapter six.</w:t>
            </w:r>
          </w:p>
        </w:tc>
      </w:tr>
      <w:tr w:rsidR="00C67B65" w14:paraId="3199C119" w14:textId="77777777">
        <w:trPr>
          <w:trHeight w:val="3336"/>
        </w:trPr>
        <w:tc>
          <w:tcPr>
            <w:tcW w:w="3375" w:type="dxa"/>
          </w:tcPr>
          <w:p w14:paraId="590B5F25" w14:textId="77777777" w:rsidR="00C67B65" w:rsidRDefault="00C67B65">
            <w:pPr>
              <w:rPr>
                <w:sz w:val="20"/>
                <w:szCs w:val="20"/>
              </w:rPr>
            </w:pPr>
            <w:r>
              <w:t xml:space="preserve">10-13 minute Middle content including: </w:t>
            </w:r>
            <w:r>
              <w:rPr>
                <w:sz w:val="20"/>
                <w:szCs w:val="20"/>
              </w:rPr>
              <w:t xml:space="preserve">Discussion of topic </w:t>
            </w:r>
          </w:p>
          <w:p w14:paraId="244DED14" w14:textId="77777777" w:rsidR="00C67B65" w:rsidRDefault="00C67B65">
            <w:pPr>
              <w:rPr>
                <w:sz w:val="20"/>
                <w:szCs w:val="20"/>
              </w:rPr>
            </w:pPr>
            <w:r>
              <w:rPr>
                <w:sz w:val="20"/>
                <w:szCs w:val="20"/>
              </w:rPr>
              <w:t>Activity(</w:t>
            </w:r>
            <w:proofErr w:type="spellStart"/>
            <w:r>
              <w:rPr>
                <w:sz w:val="20"/>
                <w:szCs w:val="20"/>
              </w:rPr>
              <w:t>ies</w:t>
            </w:r>
            <w:proofErr w:type="spellEnd"/>
            <w:r>
              <w:rPr>
                <w:sz w:val="20"/>
                <w:szCs w:val="20"/>
              </w:rPr>
              <w:t>)</w:t>
            </w:r>
          </w:p>
          <w:p w14:paraId="5C8CDB8D" w14:textId="77777777" w:rsidR="00C67B65" w:rsidRDefault="00C67B65">
            <w:r>
              <w:rPr>
                <w:sz w:val="20"/>
                <w:szCs w:val="20"/>
              </w:rPr>
              <w:t>Q &amp; A</w:t>
            </w:r>
          </w:p>
        </w:tc>
        <w:tc>
          <w:tcPr>
            <w:tcW w:w="7593" w:type="dxa"/>
          </w:tcPr>
          <w:p w14:paraId="22CF8E69" w14:textId="77777777" w:rsidR="00C67B65" w:rsidRDefault="00C67B65">
            <w:r>
              <w:t>Ask question: what are current themes and/or patterns that are influencing what you know as your calling?</w:t>
            </w:r>
          </w:p>
          <w:p w14:paraId="0F9711FD" w14:textId="77777777" w:rsidR="00C67B65" w:rsidRDefault="00C67B65">
            <w:r>
              <w:t>Use the movie they chose in the icebreaker to discuss theme/patterns and reflect why they chose that movie. Comment on how the movie’s theme connects to your life. Explain how you look to movies as how similar they are to what is going on in your life. How can you change a theme you do not like? Tell how the theme has gotten you to where you are now.</w:t>
            </w:r>
          </w:p>
        </w:tc>
      </w:tr>
      <w:tr w:rsidR="00C67B65" w14:paraId="0F4AECA4" w14:textId="77777777">
        <w:trPr>
          <w:trHeight w:val="913"/>
        </w:trPr>
        <w:tc>
          <w:tcPr>
            <w:tcW w:w="3375" w:type="dxa"/>
          </w:tcPr>
          <w:p w14:paraId="729199AC" w14:textId="77777777" w:rsidR="00C67B65" w:rsidRDefault="00C67B65">
            <w:r>
              <w:t>2-3 minute Transition to end</w:t>
            </w:r>
          </w:p>
          <w:p w14:paraId="56C14129" w14:textId="77777777" w:rsidR="00C67B65" w:rsidRDefault="00C67B65">
            <w:r>
              <w:t>(Summarize the meeting/ what’s the “takeaway”)</w:t>
            </w:r>
          </w:p>
        </w:tc>
        <w:tc>
          <w:tcPr>
            <w:tcW w:w="7593" w:type="dxa"/>
          </w:tcPr>
          <w:p w14:paraId="4EEDAE77" w14:textId="77777777" w:rsidR="00C67B65" w:rsidRDefault="00C67B65">
            <w:r>
              <w:t>Megan will complete the takeaway.</w:t>
            </w:r>
          </w:p>
        </w:tc>
      </w:tr>
    </w:tbl>
    <w:p w14:paraId="48650826" w14:textId="77777777" w:rsidR="00C67B65" w:rsidRDefault="00C67B65"/>
    <w:p w14:paraId="1FA211DA" w14:textId="77777777" w:rsidR="00A6616E" w:rsidRPr="008275CE" w:rsidRDefault="00A6616E" w:rsidP="00A6616E">
      <w:pPr>
        <w:spacing w:line="480" w:lineRule="auto"/>
        <w:rPr>
          <w:rFonts w:ascii="Times New Roman" w:hAnsi="Times New Roman" w:cs="Times New Roman"/>
        </w:rPr>
      </w:pPr>
    </w:p>
    <w:sectPr w:rsidR="00A6616E" w:rsidRPr="008275CE" w:rsidSect="009B50C4">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9445AD" w14:textId="77777777" w:rsidR="00A92077" w:rsidRDefault="00A92077" w:rsidP="007E3028">
      <w:r>
        <w:separator/>
      </w:r>
    </w:p>
  </w:endnote>
  <w:endnote w:type="continuationSeparator" w:id="0">
    <w:p w14:paraId="29E52223" w14:textId="77777777" w:rsidR="00A92077" w:rsidRDefault="00A92077" w:rsidP="007E3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D81908" w14:textId="77777777" w:rsidR="00A92077" w:rsidRDefault="00A92077" w:rsidP="007E3028">
      <w:r>
        <w:separator/>
      </w:r>
    </w:p>
  </w:footnote>
  <w:footnote w:type="continuationSeparator" w:id="0">
    <w:p w14:paraId="4793BDE5" w14:textId="77777777" w:rsidR="00A92077" w:rsidRDefault="00A92077" w:rsidP="007E3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04322303"/>
      <w:docPartObj>
        <w:docPartGallery w:val="Page Numbers (Top of Page)"/>
        <w:docPartUnique/>
      </w:docPartObj>
    </w:sdtPr>
    <w:sdtEndPr>
      <w:rPr>
        <w:rStyle w:val="PageNumber"/>
      </w:rPr>
    </w:sdtEndPr>
    <w:sdtContent>
      <w:p w14:paraId="334620F0" w14:textId="211D5B20" w:rsidR="007E3028" w:rsidRDefault="007E3028" w:rsidP="00E905F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DF72DB" w14:textId="77777777" w:rsidR="007E3028" w:rsidRDefault="007E3028" w:rsidP="007E302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Times New Roman" w:hAnsi="Times New Roman" w:cs="Times New Roman"/>
      </w:rPr>
      <w:id w:val="303737934"/>
      <w:docPartObj>
        <w:docPartGallery w:val="Page Numbers (Top of Page)"/>
        <w:docPartUnique/>
      </w:docPartObj>
    </w:sdtPr>
    <w:sdtEndPr>
      <w:rPr>
        <w:rStyle w:val="PageNumber"/>
      </w:rPr>
    </w:sdtEndPr>
    <w:sdtContent>
      <w:p w14:paraId="10729C0B" w14:textId="48BBE2D1" w:rsidR="007E3028" w:rsidRPr="007E3028" w:rsidRDefault="007E3028" w:rsidP="00E905F6">
        <w:pPr>
          <w:pStyle w:val="Header"/>
          <w:framePr w:wrap="none" w:vAnchor="text" w:hAnchor="margin" w:xAlign="right" w:y="1"/>
          <w:rPr>
            <w:rStyle w:val="PageNumber"/>
            <w:rFonts w:ascii="Times New Roman" w:hAnsi="Times New Roman" w:cs="Times New Roman"/>
          </w:rPr>
        </w:pPr>
        <w:r w:rsidRPr="007E3028">
          <w:rPr>
            <w:rStyle w:val="PageNumber"/>
            <w:rFonts w:ascii="Times New Roman" w:hAnsi="Times New Roman" w:cs="Times New Roman"/>
          </w:rPr>
          <w:fldChar w:fldCharType="begin"/>
        </w:r>
        <w:r w:rsidRPr="007E3028">
          <w:rPr>
            <w:rStyle w:val="PageNumber"/>
            <w:rFonts w:ascii="Times New Roman" w:hAnsi="Times New Roman" w:cs="Times New Roman"/>
          </w:rPr>
          <w:instrText xml:space="preserve"> PAGE </w:instrText>
        </w:r>
        <w:r w:rsidRPr="007E3028">
          <w:rPr>
            <w:rStyle w:val="PageNumber"/>
            <w:rFonts w:ascii="Times New Roman" w:hAnsi="Times New Roman" w:cs="Times New Roman"/>
          </w:rPr>
          <w:fldChar w:fldCharType="separate"/>
        </w:r>
        <w:r w:rsidRPr="007E3028">
          <w:rPr>
            <w:rStyle w:val="PageNumber"/>
            <w:rFonts w:ascii="Times New Roman" w:hAnsi="Times New Roman" w:cs="Times New Roman"/>
            <w:noProof/>
          </w:rPr>
          <w:t>1</w:t>
        </w:r>
        <w:r w:rsidRPr="007E3028">
          <w:rPr>
            <w:rStyle w:val="PageNumber"/>
            <w:rFonts w:ascii="Times New Roman" w:hAnsi="Times New Roman" w:cs="Times New Roman"/>
          </w:rPr>
          <w:fldChar w:fldCharType="end"/>
        </w:r>
      </w:p>
    </w:sdtContent>
  </w:sdt>
  <w:p w14:paraId="7B7D4951" w14:textId="77777777" w:rsidR="007E3028" w:rsidRDefault="007E3028" w:rsidP="007E3028">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E17"/>
    <w:rsid w:val="00133731"/>
    <w:rsid w:val="00267342"/>
    <w:rsid w:val="002946EF"/>
    <w:rsid w:val="003D2FAB"/>
    <w:rsid w:val="005A1098"/>
    <w:rsid w:val="00694E17"/>
    <w:rsid w:val="007E3028"/>
    <w:rsid w:val="008275CE"/>
    <w:rsid w:val="008306BD"/>
    <w:rsid w:val="008C3F51"/>
    <w:rsid w:val="00915CC2"/>
    <w:rsid w:val="009B50C4"/>
    <w:rsid w:val="00A6616E"/>
    <w:rsid w:val="00A92077"/>
    <w:rsid w:val="00B56E5D"/>
    <w:rsid w:val="00BB4600"/>
    <w:rsid w:val="00C67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8B08CC"/>
  <w15:chartTrackingRefBased/>
  <w15:docId w15:val="{FA865C74-22CD-D047-B809-7F1188D60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616E"/>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7E3028"/>
    <w:pPr>
      <w:tabs>
        <w:tab w:val="center" w:pos="4680"/>
        <w:tab w:val="right" w:pos="9360"/>
      </w:tabs>
    </w:pPr>
  </w:style>
  <w:style w:type="character" w:customStyle="1" w:styleId="HeaderChar">
    <w:name w:val="Header Char"/>
    <w:basedOn w:val="DefaultParagraphFont"/>
    <w:link w:val="Header"/>
    <w:uiPriority w:val="99"/>
    <w:rsid w:val="007E3028"/>
  </w:style>
  <w:style w:type="character" w:styleId="PageNumber">
    <w:name w:val="page number"/>
    <w:basedOn w:val="DefaultParagraphFont"/>
    <w:uiPriority w:val="99"/>
    <w:semiHidden/>
    <w:unhideWhenUsed/>
    <w:rsid w:val="007E3028"/>
  </w:style>
  <w:style w:type="paragraph" w:styleId="Footer">
    <w:name w:val="footer"/>
    <w:basedOn w:val="Normal"/>
    <w:link w:val="FooterChar"/>
    <w:uiPriority w:val="99"/>
    <w:unhideWhenUsed/>
    <w:rsid w:val="007E3028"/>
    <w:pPr>
      <w:tabs>
        <w:tab w:val="center" w:pos="4680"/>
        <w:tab w:val="right" w:pos="9360"/>
      </w:tabs>
    </w:pPr>
  </w:style>
  <w:style w:type="character" w:customStyle="1" w:styleId="FooterChar">
    <w:name w:val="Footer Char"/>
    <w:basedOn w:val="DefaultParagraphFont"/>
    <w:link w:val="Footer"/>
    <w:uiPriority w:val="99"/>
    <w:rsid w:val="007E3028"/>
  </w:style>
  <w:style w:type="character" w:styleId="Hyperlink">
    <w:name w:val="Hyperlink"/>
    <w:basedOn w:val="DefaultParagraphFont"/>
    <w:uiPriority w:val="99"/>
    <w:unhideWhenUsed/>
    <w:rsid w:val="00C67B65"/>
    <w:rPr>
      <w:color w:val="0563C1" w:themeColor="hyperlink"/>
      <w:u w:val="single"/>
    </w:rPr>
  </w:style>
  <w:style w:type="character" w:styleId="UnresolvedMention">
    <w:name w:val="Unresolved Mention"/>
    <w:basedOn w:val="DefaultParagraphFont"/>
    <w:uiPriority w:val="99"/>
    <w:semiHidden/>
    <w:unhideWhenUsed/>
    <w:rsid w:val="00C67B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9571010">
      <w:bodyDiv w:val="1"/>
      <w:marLeft w:val="0"/>
      <w:marRight w:val="0"/>
      <w:marTop w:val="0"/>
      <w:marBottom w:val="0"/>
      <w:divBdr>
        <w:top w:val="none" w:sz="0" w:space="0" w:color="auto"/>
        <w:left w:val="none" w:sz="0" w:space="0" w:color="auto"/>
        <w:bottom w:val="none" w:sz="0" w:space="0" w:color="auto"/>
        <w:right w:val="none" w:sz="0" w:space="0" w:color="auto"/>
      </w:divBdr>
    </w:div>
    <w:div w:id="83272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unseling.org/resources/aca-code-of-ethics.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BE365-167E-9A4A-AB38-6EE341230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1110</Words>
  <Characters>6330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Medford, Jarrett Inge</dc:creator>
  <cp:keywords/>
  <dc:description/>
  <cp:lastModifiedBy>Medford, Jarrett Inge</cp:lastModifiedBy>
  <cp:revision>3</cp:revision>
  <dcterms:created xsi:type="dcterms:W3CDTF">2024-03-07T14:52:00Z</dcterms:created>
  <dcterms:modified xsi:type="dcterms:W3CDTF">2024-03-07T14:53:00Z</dcterms:modified>
</cp:coreProperties>
</file>