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5BA52" w14:textId="5AAF13D4" w:rsidR="00970417" w:rsidRDefault="00970417" w:rsidP="00DE7E49">
      <w:pPr>
        <w:jc w:val="center"/>
      </w:pPr>
    </w:p>
    <w:p w14:paraId="099893A5" w14:textId="3D64DC6F" w:rsidR="00DE7E49" w:rsidRDefault="00DE7E49" w:rsidP="00DE7E49">
      <w:pPr>
        <w:jc w:val="center"/>
      </w:pPr>
    </w:p>
    <w:p w14:paraId="616970B4" w14:textId="25159630" w:rsidR="00DE7E49" w:rsidRDefault="00DE7E49" w:rsidP="00DE7E49">
      <w:pPr>
        <w:jc w:val="center"/>
      </w:pPr>
    </w:p>
    <w:p w14:paraId="482F7F63" w14:textId="6136CB89" w:rsidR="00DE7E49" w:rsidRDefault="00DE7E49" w:rsidP="00DE7E49">
      <w:pPr>
        <w:jc w:val="center"/>
      </w:pPr>
    </w:p>
    <w:p w14:paraId="0E2B270E" w14:textId="28860739" w:rsidR="00DE7E49" w:rsidRDefault="00DE7E49" w:rsidP="00DE7E49">
      <w:pPr>
        <w:jc w:val="center"/>
      </w:pPr>
    </w:p>
    <w:p w14:paraId="38CFE5F5" w14:textId="1AB5B016" w:rsidR="00DE7E49" w:rsidRDefault="00DE7E49" w:rsidP="00DE7E49">
      <w:pPr>
        <w:jc w:val="center"/>
      </w:pPr>
    </w:p>
    <w:p w14:paraId="47310BCA" w14:textId="3F9E2F61" w:rsidR="00DE7E49" w:rsidRDefault="00DE7E49" w:rsidP="00DE7E49">
      <w:pPr>
        <w:jc w:val="center"/>
      </w:pPr>
    </w:p>
    <w:p w14:paraId="328C84C4" w14:textId="53CE1597" w:rsidR="00DE7E49" w:rsidRDefault="00DE7E49" w:rsidP="00DE7E49">
      <w:pPr>
        <w:jc w:val="center"/>
      </w:pPr>
    </w:p>
    <w:p w14:paraId="241F1926" w14:textId="581491BB" w:rsidR="00DE7E49" w:rsidRDefault="00DE7E49" w:rsidP="00DE7E49">
      <w:pPr>
        <w:jc w:val="center"/>
      </w:pPr>
    </w:p>
    <w:p w14:paraId="2827A55A" w14:textId="13FF2F30" w:rsidR="00DE7E49" w:rsidRPr="00DE7E49" w:rsidRDefault="00DE7E49" w:rsidP="00DE7E49">
      <w:pPr>
        <w:jc w:val="center"/>
        <w:rPr>
          <w:rFonts w:ascii="Times New Roman" w:hAnsi="Times New Roman" w:cs="Times New Roman"/>
        </w:rPr>
      </w:pPr>
    </w:p>
    <w:p w14:paraId="3FC1EE79" w14:textId="4CB98DB7" w:rsidR="00DE7E49" w:rsidRPr="00DE7E49" w:rsidRDefault="00DE7E49" w:rsidP="00DE7E49">
      <w:pPr>
        <w:jc w:val="center"/>
        <w:rPr>
          <w:rFonts w:ascii="Times New Roman" w:hAnsi="Times New Roman" w:cs="Times New Roman"/>
          <w:b/>
          <w:bCs/>
        </w:rPr>
      </w:pPr>
      <w:r w:rsidRPr="00DE7E49">
        <w:rPr>
          <w:rFonts w:ascii="Times New Roman" w:hAnsi="Times New Roman" w:cs="Times New Roman"/>
          <w:b/>
          <w:bCs/>
        </w:rPr>
        <w:t>EXPLORING RELIABILITY AND VALIDITY</w:t>
      </w:r>
    </w:p>
    <w:p w14:paraId="057E9667" w14:textId="645C96A0" w:rsidR="00DE7E49" w:rsidRPr="00DE7E49" w:rsidRDefault="00DE7E49" w:rsidP="00DE7E49">
      <w:pPr>
        <w:jc w:val="center"/>
        <w:rPr>
          <w:rFonts w:ascii="Times New Roman" w:hAnsi="Times New Roman" w:cs="Times New Roman"/>
          <w:b/>
          <w:bCs/>
        </w:rPr>
      </w:pPr>
    </w:p>
    <w:p w14:paraId="4F0B7495" w14:textId="2DBDFD37" w:rsidR="00DE7E49" w:rsidRPr="00DE7E49" w:rsidRDefault="00DE7E49" w:rsidP="00DE7E49">
      <w:pPr>
        <w:jc w:val="center"/>
        <w:rPr>
          <w:rFonts w:ascii="Times New Roman" w:hAnsi="Times New Roman" w:cs="Times New Roman"/>
        </w:rPr>
      </w:pPr>
      <w:r w:rsidRPr="00DE7E49">
        <w:rPr>
          <w:rFonts w:ascii="Times New Roman" w:hAnsi="Times New Roman" w:cs="Times New Roman"/>
        </w:rPr>
        <w:t>Hailie E. Gerhardt</w:t>
      </w:r>
    </w:p>
    <w:p w14:paraId="6CA7F281" w14:textId="020F42AB" w:rsidR="00DE7E49" w:rsidRPr="00DE7E49" w:rsidRDefault="00DE7E49" w:rsidP="00DE7E49">
      <w:pPr>
        <w:jc w:val="center"/>
        <w:rPr>
          <w:rFonts w:ascii="Times New Roman" w:hAnsi="Times New Roman" w:cs="Times New Roman"/>
        </w:rPr>
      </w:pPr>
    </w:p>
    <w:p w14:paraId="1E7D3AB8" w14:textId="3B11A5B4" w:rsidR="00D24523" w:rsidRDefault="00DE7E49" w:rsidP="00DE7E49">
      <w:pPr>
        <w:jc w:val="center"/>
        <w:rPr>
          <w:rFonts w:ascii="Times New Roman" w:hAnsi="Times New Roman" w:cs="Times New Roman"/>
        </w:rPr>
      </w:pPr>
      <w:r w:rsidRPr="00DE7E49">
        <w:rPr>
          <w:rFonts w:ascii="Times New Roman" w:hAnsi="Times New Roman" w:cs="Times New Roman"/>
        </w:rPr>
        <w:t>Liberty University, School of Behavioral Science, School Counseling</w:t>
      </w:r>
    </w:p>
    <w:p w14:paraId="2F0EB7F1" w14:textId="77777777" w:rsidR="00D24523" w:rsidRDefault="00D24523">
      <w:pPr>
        <w:rPr>
          <w:rFonts w:ascii="Times New Roman" w:hAnsi="Times New Roman" w:cs="Times New Roman"/>
        </w:rPr>
      </w:pPr>
      <w:r>
        <w:rPr>
          <w:rFonts w:ascii="Times New Roman" w:hAnsi="Times New Roman" w:cs="Times New Roman"/>
        </w:rPr>
        <w:br w:type="page"/>
      </w:r>
    </w:p>
    <w:p w14:paraId="6BA52F3A" w14:textId="017CFBAF" w:rsidR="00DE7E49" w:rsidRDefault="00D24523" w:rsidP="00DE7E49">
      <w:pPr>
        <w:jc w:val="center"/>
        <w:rPr>
          <w:rFonts w:ascii="Times New Roman" w:hAnsi="Times New Roman" w:cs="Times New Roman"/>
          <w:b/>
          <w:bCs/>
        </w:rPr>
      </w:pPr>
      <w:r>
        <w:rPr>
          <w:rFonts w:ascii="Times New Roman" w:hAnsi="Times New Roman" w:cs="Times New Roman"/>
          <w:b/>
          <w:bCs/>
        </w:rPr>
        <w:lastRenderedPageBreak/>
        <w:t>Types of Reliability and Validity</w:t>
      </w:r>
    </w:p>
    <w:p w14:paraId="32D024BE" w14:textId="6E6A6139" w:rsidR="00FD6B06" w:rsidRDefault="00FD6B06" w:rsidP="00DE7E49">
      <w:pPr>
        <w:jc w:val="center"/>
        <w:rPr>
          <w:rFonts w:ascii="Times New Roman" w:hAnsi="Times New Roman" w:cs="Times New Roman"/>
          <w:b/>
          <w:bCs/>
        </w:rPr>
      </w:pPr>
    </w:p>
    <w:p w14:paraId="068B32E7" w14:textId="6767CFBD" w:rsidR="00FD6B06" w:rsidRDefault="00FD6B06" w:rsidP="00FD6B06">
      <w:pPr>
        <w:spacing w:line="480" w:lineRule="auto"/>
        <w:rPr>
          <w:rFonts w:ascii="Times New Roman" w:hAnsi="Times New Roman" w:cs="Times New Roman"/>
        </w:rPr>
      </w:pPr>
      <w:r>
        <w:rPr>
          <w:rFonts w:ascii="Times New Roman" w:hAnsi="Times New Roman" w:cs="Times New Roman"/>
          <w:b/>
          <w:bCs/>
        </w:rPr>
        <w:tab/>
      </w:r>
      <w:r w:rsidRPr="00FD6B06">
        <w:rPr>
          <w:rFonts w:ascii="Times New Roman" w:hAnsi="Times New Roman" w:cs="Times New Roman"/>
        </w:rPr>
        <w:t xml:space="preserve">The </w:t>
      </w:r>
      <w:r>
        <w:rPr>
          <w:rFonts w:ascii="Times New Roman" w:hAnsi="Times New Roman" w:cs="Times New Roman"/>
        </w:rPr>
        <w:t xml:space="preserve">Values and Motives Questionnaire (VMQ) authors </w:t>
      </w:r>
      <w:r w:rsidRPr="00FD6B06">
        <w:rPr>
          <w:rFonts w:ascii="Times New Roman" w:hAnsi="Times New Roman" w:cs="Times New Roman"/>
        </w:rPr>
        <w:t>have explicitly discussed the different types of reliability and validity</w:t>
      </w:r>
      <w:r>
        <w:rPr>
          <w:rFonts w:ascii="Times New Roman" w:hAnsi="Times New Roman" w:cs="Times New Roman"/>
          <w:b/>
          <w:bCs/>
        </w:rPr>
        <w:t xml:space="preserve">. </w:t>
      </w:r>
      <w:r w:rsidR="001E461B" w:rsidRPr="001E461B">
        <w:rPr>
          <w:rFonts w:ascii="Times New Roman" w:hAnsi="Times New Roman" w:cs="Times New Roman"/>
        </w:rPr>
        <w:t>Reliability</w:t>
      </w:r>
      <w:r w:rsidR="00F16A2A" w:rsidRPr="00F16A2A">
        <w:rPr>
          <w:rFonts w:ascii="Times New Roman" w:hAnsi="Times New Roman" w:cs="Times New Roman"/>
        </w:rPr>
        <w:t xml:space="preserve"> is often described in terms of stability and internal consistency. Stability reliability, also </w:t>
      </w:r>
      <w:r w:rsidR="00992B1E">
        <w:rPr>
          <w:rFonts w:ascii="Times New Roman" w:hAnsi="Times New Roman" w:cs="Times New Roman"/>
        </w:rPr>
        <w:t>called</w:t>
      </w:r>
      <w:r w:rsidR="00992B1E" w:rsidRPr="00F16A2A">
        <w:rPr>
          <w:rFonts w:ascii="Times New Roman" w:hAnsi="Times New Roman" w:cs="Times New Roman"/>
        </w:rPr>
        <w:t xml:space="preserve"> "test-retest" stability, is </w:t>
      </w:r>
      <w:r w:rsidR="00992B1E">
        <w:rPr>
          <w:rFonts w:ascii="Times New Roman" w:hAnsi="Times New Roman" w:cs="Times New Roman"/>
        </w:rPr>
        <w:t>evaluating</w:t>
      </w:r>
      <w:r w:rsidR="00F16A2A" w:rsidRPr="00F16A2A">
        <w:rPr>
          <w:rFonts w:ascii="Times New Roman" w:hAnsi="Times New Roman" w:cs="Times New Roman"/>
        </w:rPr>
        <w:t xml:space="preserve"> how similar scores are when the same test is taken multiple times. Internal consistency reliability, or "scale homogeneity," measures the ability of all the items on the scale to measure the same trait or construct. </w:t>
      </w:r>
      <w:r w:rsidR="00500FAB" w:rsidRPr="00500FAB">
        <w:rPr>
          <w:rFonts w:ascii="Times New Roman" w:hAnsi="Times New Roman" w:cs="Times New Roman"/>
          <w:bCs/>
        </w:rPr>
        <w:t>(VMQ, n.d.).</w:t>
      </w:r>
      <w:r w:rsidR="00500FAB">
        <w:rPr>
          <w:bCs/>
        </w:rPr>
        <w:t xml:space="preserve"> </w:t>
      </w:r>
      <w:r w:rsidR="00F16A2A" w:rsidRPr="00F16A2A">
        <w:rPr>
          <w:rFonts w:ascii="Times New Roman" w:hAnsi="Times New Roman" w:cs="Times New Roman"/>
        </w:rPr>
        <w:t xml:space="preserve">Validity is also discussed in terms of construct or criterion validity. Construct validity assesses whether the test is psychologically meaningful, while criterion validity involves translating a score on a particular test </w:t>
      </w:r>
      <w:r w:rsidR="00992B1E">
        <w:rPr>
          <w:rFonts w:ascii="Times New Roman" w:hAnsi="Times New Roman" w:cs="Times New Roman"/>
        </w:rPr>
        <w:t>into</w:t>
      </w:r>
      <w:r w:rsidR="00F16A2A" w:rsidRPr="00F16A2A">
        <w:rPr>
          <w:rFonts w:ascii="Times New Roman" w:hAnsi="Times New Roman" w:cs="Times New Roman"/>
        </w:rPr>
        <w:t xml:space="preserve"> a prediction for the outcome of another. </w:t>
      </w:r>
      <w:r w:rsidR="00500FAB" w:rsidRPr="00500FAB">
        <w:rPr>
          <w:rFonts w:ascii="Times New Roman" w:hAnsi="Times New Roman" w:cs="Times New Roman"/>
          <w:bCs/>
        </w:rPr>
        <w:t>(VMQ, n.d.).</w:t>
      </w:r>
    </w:p>
    <w:p w14:paraId="46467E4F" w14:textId="7178A5CC" w:rsidR="00880922" w:rsidRDefault="00F16A2A" w:rsidP="00880922">
      <w:pPr>
        <w:pStyle w:val="NormalWeb"/>
        <w:spacing w:line="480" w:lineRule="auto"/>
      </w:pPr>
      <w:r>
        <w:tab/>
      </w:r>
      <w:r w:rsidR="00DB389D">
        <w:t xml:space="preserve">The VMQ study employs internal consistency reliability and construct validity. </w:t>
      </w:r>
      <w:r w:rsidR="00500FAB">
        <w:rPr>
          <w:bCs/>
        </w:rPr>
        <w:t xml:space="preserve">(VMQ, n.d.). </w:t>
      </w:r>
      <w:r w:rsidR="00BE25FE">
        <w:t>The study utilized internal consistency reliability, evaluated by computing Cronbach's Alpha on the entire standardisation sample</w:t>
      </w:r>
      <w:r w:rsidR="006F365F">
        <w:t>,</w:t>
      </w:r>
      <w:r w:rsidR="00BE25FE">
        <w:t xml:space="preserve"> as mentioned in VMQ. Cronbach's Alpha is a widely accepted model for measuring internal consistency reliability. The study also employed construct validity, verified by evaluating whether the test measures the characteristic it is meant to measure, as stated in VMQ. This type of validity assesses the test's characteristics to ensure that it </w:t>
      </w:r>
      <w:r w:rsidR="006F365F">
        <w:t>measures what it intends</w:t>
      </w:r>
      <w:r w:rsidR="00BE25FE">
        <w:t xml:space="preserve"> to measure.</w:t>
      </w:r>
    </w:p>
    <w:p w14:paraId="21282D65" w14:textId="1780B37A" w:rsidR="00D202DA" w:rsidRDefault="00880922" w:rsidP="00106DA0">
      <w:pPr>
        <w:pStyle w:val="NormalWeb"/>
        <w:spacing w:line="480" w:lineRule="auto"/>
        <w:jc w:val="center"/>
        <w:rPr>
          <w:b/>
        </w:rPr>
      </w:pPr>
      <w:r w:rsidRPr="00E67F12">
        <w:rPr>
          <w:b/>
        </w:rPr>
        <w:t xml:space="preserve">Reliability: </w:t>
      </w:r>
      <w:r>
        <w:rPr>
          <w:b/>
        </w:rPr>
        <w:t>Cronbach A</w:t>
      </w:r>
      <w:r w:rsidRPr="00E67F12">
        <w:rPr>
          <w:b/>
        </w:rPr>
        <w:t>lpha</w:t>
      </w:r>
      <w:r>
        <w:rPr>
          <w:b/>
        </w:rPr>
        <w:t xml:space="preserve"> C</w:t>
      </w:r>
      <w:r w:rsidRPr="00E67F12">
        <w:rPr>
          <w:b/>
        </w:rPr>
        <w:t>oefficients</w:t>
      </w:r>
    </w:p>
    <w:p w14:paraId="2EE452C9" w14:textId="467F5D25" w:rsidR="00C726AB" w:rsidRDefault="00106DA0" w:rsidP="00C726AB">
      <w:pPr>
        <w:pStyle w:val="NormalWeb"/>
        <w:spacing w:line="480" w:lineRule="auto"/>
      </w:pPr>
      <w:r>
        <w:rPr>
          <w:bCs/>
        </w:rPr>
        <w:tab/>
      </w:r>
      <w:r w:rsidRPr="00C726AB">
        <w:rPr>
          <w:bCs/>
        </w:rPr>
        <w:t xml:space="preserve">Cronbach’s Alpha coefficients listed in the VMQ show a wide range of data points for reliability determination. </w:t>
      </w:r>
      <w:r w:rsidR="00E22C34">
        <w:rPr>
          <w:bCs/>
        </w:rPr>
        <w:t xml:space="preserve">The consistency categories are low (below 0.70), average (0.70-0.79), and high (0.80-0.99) </w:t>
      </w:r>
      <w:r w:rsidR="00500FAB">
        <w:rPr>
          <w:bCs/>
        </w:rPr>
        <w:t xml:space="preserve">(VMQ, n.d.). </w:t>
      </w:r>
      <w:r w:rsidR="00E22C34">
        <w:rPr>
          <w:bCs/>
        </w:rPr>
        <w:t xml:space="preserve">The achievement, moral, independent, S.D., and infrequency categories scored low on the </w:t>
      </w:r>
      <w:r w:rsidR="00500FAB">
        <w:rPr>
          <w:bCs/>
        </w:rPr>
        <w:t xml:space="preserve">(VMQ, n.d.). </w:t>
      </w:r>
      <w:r w:rsidR="00C726AB" w:rsidRPr="00C726AB">
        <w:rPr>
          <w:bCs/>
        </w:rPr>
        <w:t xml:space="preserve">Average range categories include </w:t>
      </w:r>
      <w:r w:rsidR="00C726AB" w:rsidRPr="00C726AB">
        <w:t xml:space="preserve">affiliative, altruistic, </w:t>
      </w:r>
      <w:r w:rsidR="00C726AB" w:rsidRPr="00C726AB">
        <w:lastRenderedPageBreak/>
        <w:t xml:space="preserve">affection, security, traditional, </w:t>
      </w:r>
      <w:r w:rsidR="00C726AB">
        <w:t xml:space="preserve">and </w:t>
      </w:r>
      <w:r w:rsidR="00C726AB" w:rsidRPr="00C726AB">
        <w:t xml:space="preserve">ethical. </w:t>
      </w:r>
      <w:r w:rsidR="00500FAB">
        <w:rPr>
          <w:bCs/>
        </w:rPr>
        <w:t xml:space="preserve">(VMQ, n.d.). </w:t>
      </w:r>
      <w:r w:rsidR="003E4D7F">
        <w:t xml:space="preserve">The high range comprised both financial and aesthetic aspects. </w:t>
      </w:r>
      <w:r w:rsidR="00500FAB">
        <w:rPr>
          <w:bCs/>
        </w:rPr>
        <w:t>(VMQ, n.d.).</w:t>
      </w:r>
    </w:p>
    <w:p w14:paraId="242701ED" w14:textId="77777777" w:rsidR="00843B66" w:rsidRDefault="005F1CE1" w:rsidP="00C726AB">
      <w:pPr>
        <w:pStyle w:val="NormalWeb"/>
        <w:spacing w:line="480" w:lineRule="auto"/>
      </w:pPr>
      <w:r>
        <w:tab/>
      </w:r>
      <w:r w:rsidR="0034049B">
        <w:t xml:space="preserve">In general, the assessment's reliability is average. Most of the categories evaluated fell within the average range. However, some </w:t>
      </w:r>
      <w:r w:rsidR="00843B66">
        <w:t>lower-scoring categories could be modified by refining the questioning to be more specific to the topic. On the other hand, the other average categories could be reframed to increase their scoring potential. Overall, this is a well-rounded assessment according to Cronbach’s Alpha scale.</w:t>
      </w:r>
    </w:p>
    <w:p w14:paraId="31FF4880" w14:textId="251A7298" w:rsidR="00594AF1" w:rsidRDefault="00843B66" w:rsidP="00594AF1">
      <w:pPr>
        <w:pStyle w:val="NormalWeb"/>
        <w:spacing w:line="480" w:lineRule="auto"/>
        <w:jc w:val="center"/>
        <w:rPr>
          <w:b/>
        </w:rPr>
      </w:pPr>
      <w:r>
        <w:rPr>
          <w:b/>
        </w:rPr>
        <w:t>Sample S</w:t>
      </w:r>
      <w:r w:rsidRPr="00E67F12">
        <w:rPr>
          <w:b/>
        </w:rPr>
        <w:t xml:space="preserve">ize and </w:t>
      </w:r>
      <w:r>
        <w:rPr>
          <w:b/>
        </w:rPr>
        <w:t>N</w:t>
      </w:r>
      <w:r w:rsidRPr="00E67F12">
        <w:rPr>
          <w:b/>
        </w:rPr>
        <w:t>ature of the</w:t>
      </w:r>
      <w:r>
        <w:rPr>
          <w:b/>
        </w:rPr>
        <w:t xml:space="preserve"> P</w:t>
      </w:r>
      <w:r w:rsidRPr="00E67F12">
        <w:rPr>
          <w:b/>
        </w:rPr>
        <w:t>opulation</w:t>
      </w:r>
    </w:p>
    <w:p w14:paraId="02AAFD6D" w14:textId="32DA57F3" w:rsidR="00594AF1" w:rsidRPr="00594AF1" w:rsidRDefault="00594AF1" w:rsidP="00594AF1">
      <w:pPr>
        <w:pStyle w:val="NormalWeb"/>
        <w:spacing w:line="480" w:lineRule="auto"/>
        <w:rPr>
          <w:b/>
        </w:rPr>
      </w:pPr>
      <w:r>
        <w:rPr>
          <w:b/>
        </w:rPr>
        <w:t>Validity</w:t>
      </w:r>
    </w:p>
    <w:p w14:paraId="764E511A" w14:textId="3EB10F5E" w:rsidR="00500FAB" w:rsidRDefault="00843B66" w:rsidP="00106DA0">
      <w:pPr>
        <w:pStyle w:val="NormalWeb"/>
        <w:spacing w:line="480" w:lineRule="auto"/>
        <w:rPr>
          <w:bCs/>
        </w:rPr>
      </w:pPr>
      <w:r>
        <w:rPr>
          <w:bCs/>
        </w:rPr>
        <w:tab/>
        <w:t>The</w:t>
      </w:r>
      <w:r w:rsidR="00E626E7">
        <w:rPr>
          <w:bCs/>
        </w:rPr>
        <w:t xml:space="preserve"> populations used in MAPP, OPP, and 16PF version 5 validate the VMI. </w:t>
      </w:r>
      <w:r w:rsidR="00783028">
        <w:rPr>
          <w:bCs/>
        </w:rPr>
        <w:t xml:space="preserve">The MAPP has a high correlation with the VMI based on the tests of personal wealth and personal authority, compared well with the VMI, a test of financial. </w:t>
      </w:r>
      <w:r w:rsidR="009F7025">
        <w:rPr>
          <w:bCs/>
        </w:rPr>
        <w:t xml:space="preserve">The VMI altruism test is comparable with the MAPP altruism test based on the calculated correlation; however, </w:t>
      </w:r>
      <w:r w:rsidR="005208E5">
        <w:rPr>
          <w:bCs/>
        </w:rPr>
        <w:t xml:space="preserve">MAPP is “more directed at job security and long-term future.” (VMQ, </w:t>
      </w:r>
      <w:r w:rsidR="00500FAB">
        <w:rPr>
          <w:bCs/>
        </w:rPr>
        <w:t>n.d.</w:t>
      </w:r>
      <w:r w:rsidR="005208E5">
        <w:rPr>
          <w:bCs/>
        </w:rPr>
        <w:t>).</w:t>
      </w:r>
      <w:r w:rsidR="00600926">
        <w:rPr>
          <w:bCs/>
        </w:rPr>
        <w:t xml:space="preserve"> Despite this, there are many refutable correlations between the two tests on furthering the validity of VMI. </w:t>
      </w:r>
    </w:p>
    <w:p w14:paraId="2BF71B57" w14:textId="7EA3EFB6" w:rsidR="00CE6540" w:rsidRDefault="00600926" w:rsidP="00106DA0">
      <w:pPr>
        <w:pStyle w:val="NormalWeb"/>
        <w:spacing w:line="480" w:lineRule="auto"/>
        <w:rPr>
          <w:bCs/>
        </w:rPr>
      </w:pPr>
      <w:r>
        <w:rPr>
          <w:bCs/>
        </w:rPr>
        <w:t>Several aspects of the 16PF test</w:t>
      </w:r>
      <w:r w:rsidR="00843B66">
        <w:rPr>
          <w:bCs/>
        </w:rPr>
        <w:t>, group dependence, apprehension, affection, and altruism,</w:t>
      </w:r>
      <w:r>
        <w:rPr>
          <w:bCs/>
        </w:rPr>
        <w:t xml:space="preserve"> correlate </w:t>
      </w:r>
      <w:r w:rsidR="000115F0">
        <w:rPr>
          <w:bCs/>
        </w:rPr>
        <w:t>with the VMI.</w:t>
      </w:r>
      <w:r w:rsidR="00500FAB">
        <w:rPr>
          <w:bCs/>
        </w:rPr>
        <w:t xml:space="preserve"> However, </w:t>
      </w:r>
      <w:r w:rsidR="00245D34">
        <w:rPr>
          <w:bCs/>
        </w:rPr>
        <w:t>VMI and the 16PF have different constructs. Validity suggests different constructs to allow for different scores.</w:t>
      </w:r>
      <w:r w:rsidR="000115F0">
        <w:rPr>
          <w:bCs/>
        </w:rPr>
        <w:t xml:space="preserve"> </w:t>
      </w:r>
      <w:r w:rsidR="00245D34">
        <w:rPr>
          <w:bCs/>
        </w:rPr>
        <w:t>The VMI and OPP tests are similar</w:t>
      </w:r>
      <w:r w:rsidR="00594AF1">
        <w:rPr>
          <w:bCs/>
        </w:rPr>
        <w:t>.</w:t>
      </w:r>
      <w:r w:rsidR="00245D34">
        <w:rPr>
          <w:bCs/>
        </w:rPr>
        <w:t xml:space="preserve"> They offered </w:t>
      </w:r>
      <w:r w:rsidR="005E1C54">
        <w:rPr>
          <w:bCs/>
        </w:rPr>
        <w:t xml:space="preserve">strong </w:t>
      </w:r>
      <w:r w:rsidR="00245D34">
        <w:rPr>
          <w:bCs/>
        </w:rPr>
        <w:t xml:space="preserve">coefficients </w:t>
      </w:r>
      <w:r w:rsidR="005E1C54">
        <w:rPr>
          <w:bCs/>
        </w:rPr>
        <w:t>of 0.7, which indicates scores are strongly related. (VMQ, n.d.). Overall, the tests have a differentiating correlation with the VMI.</w:t>
      </w:r>
    </w:p>
    <w:p w14:paraId="00FB9D88" w14:textId="55ABD4C9" w:rsidR="007F717E" w:rsidRDefault="007F717E" w:rsidP="00106DA0">
      <w:pPr>
        <w:pStyle w:val="NormalWeb"/>
        <w:spacing w:line="480" w:lineRule="auto"/>
        <w:rPr>
          <w:b/>
        </w:rPr>
      </w:pPr>
      <w:r w:rsidRPr="00E67F12">
        <w:rPr>
          <w:b/>
        </w:rPr>
        <w:lastRenderedPageBreak/>
        <w:t>VMQ Norming Population</w:t>
      </w:r>
    </w:p>
    <w:p w14:paraId="3C0F0B8C" w14:textId="727EA74E" w:rsidR="007F717E" w:rsidRDefault="007F717E" w:rsidP="00106DA0">
      <w:pPr>
        <w:pStyle w:val="NormalWeb"/>
        <w:spacing w:line="480" w:lineRule="auto"/>
        <w:rPr>
          <w:bCs/>
        </w:rPr>
      </w:pPr>
      <w:r>
        <w:rPr>
          <w:b/>
        </w:rPr>
        <w:tab/>
      </w:r>
      <w:r w:rsidR="00DC5D81" w:rsidRPr="00DC5D81">
        <w:rPr>
          <w:bCs/>
        </w:rPr>
        <w:t xml:space="preserve">During the VMQ, a significant sample of students was polled. The students represented diverse genders, ages, and socio-cultural backgrounds. Due to the large sample size, the standard error was reduced, </w:t>
      </w:r>
      <w:r w:rsidR="00F60A2E">
        <w:rPr>
          <w:bCs/>
        </w:rPr>
        <w:t>increasing</w:t>
      </w:r>
      <w:r w:rsidR="00DC5D81" w:rsidRPr="00DC5D81">
        <w:rPr>
          <w:bCs/>
        </w:rPr>
        <w:t xml:space="preserve"> the validity of the results. If the sample size were smaller, it would decrease the validity of the results.</w:t>
      </w:r>
      <w:r w:rsidR="00DC5D81">
        <w:rPr>
          <w:bCs/>
        </w:rPr>
        <w:t xml:space="preserve"> </w:t>
      </w:r>
      <w:r w:rsidR="00DC5D81" w:rsidRPr="00DC5D81">
        <w:rPr>
          <w:bCs/>
        </w:rPr>
        <w:t>(</w:t>
      </w:r>
      <w:r w:rsidR="00F60A2E" w:rsidRPr="00F60A2E">
        <w:rPr>
          <w:szCs w:val="22"/>
        </w:rPr>
        <w:t>Sheperis</w:t>
      </w:r>
      <w:r w:rsidR="00F60A2E">
        <w:rPr>
          <w:bCs/>
        </w:rPr>
        <w:t>, et. al., 2019</w:t>
      </w:r>
      <w:r w:rsidR="00DC5D81">
        <w:rPr>
          <w:bCs/>
        </w:rPr>
        <w:t xml:space="preserve">). </w:t>
      </w:r>
      <w:r w:rsidR="00F5567D">
        <w:rPr>
          <w:bCs/>
        </w:rPr>
        <w:t xml:space="preserve"> The sample population was also taken from educated undergraduates and graduates. This sample </w:t>
      </w:r>
      <w:r w:rsidR="00F60A2E">
        <w:rPr>
          <w:bCs/>
        </w:rPr>
        <w:t>only allowed for some</w:t>
      </w:r>
      <w:r w:rsidR="00F5567D">
        <w:rPr>
          <w:bCs/>
        </w:rPr>
        <w:t xml:space="preserve"> educational groups to be involved.</w:t>
      </w:r>
    </w:p>
    <w:p w14:paraId="0534F5FF" w14:textId="7C8880F3" w:rsidR="00F5567D" w:rsidRDefault="00F5567D" w:rsidP="00106DA0">
      <w:pPr>
        <w:pStyle w:val="NormalWeb"/>
        <w:spacing w:line="480" w:lineRule="auto"/>
        <w:rPr>
          <w:bCs/>
        </w:rPr>
      </w:pPr>
      <w:r>
        <w:rPr>
          <w:bCs/>
        </w:rPr>
        <w:tab/>
      </w:r>
      <w:r w:rsidR="001D2D0A">
        <w:rPr>
          <w:bCs/>
        </w:rPr>
        <w:t xml:space="preserve">Regarding the educational background of the population surveyed, </w:t>
      </w:r>
      <w:r w:rsidR="000741A3">
        <w:rPr>
          <w:bCs/>
        </w:rPr>
        <w:t xml:space="preserve">it’s not </w:t>
      </w:r>
      <w:r w:rsidR="001D2D0A">
        <w:rPr>
          <w:bCs/>
        </w:rPr>
        <w:t xml:space="preserve">broad enough to generalize to other populations. The sample size was specific and did not account for people with less sophisticated educational backgrounds. However, I </w:t>
      </w:r>
      <w:r w:rsidR="000741A3">
        <w:rPr>
          <w:bCs/>
        </w:rPr>
        <w:t>believe</w:t>
      </w:r>
      <w:r w:rsidR="001D2D0A">
        <w:rPr>
          <w:bCs/>
        </w:rPr>
        <w:t xml:space="preserve"> the results were accurate for the population surveyed. As a graduate student, the results were accurate, but they may not be the same for the general population.</w:t>
      </w:r>
    </w:p>
    <w:p w14:paraId="54F8D19C" w14:textId="177AED39" w:rsidR="006E120A" w:rsidRDefault="006E120A" w:rsidP="006E120A">
      <w:pPr>
        <w:pStyle w:val="NormalWeb"/>
        <w:spacing w:line="480" w:lineRule="auto"/>
        <w:jc w:val="center"/>
        <w:rPr>
          <w:b/>
        </w:rPr>
      </w:pPr>
      <w:r w:rsidRPr="006E120A">
        <w:rPr>
          <w:b/>
        </w:rPr>
        <w:t>Opinion of the VMQ</w:t>
      </w:r>
    </w:p>
    <w:p w14:paraId="61EB6CE9" w14:textId="154A479A" w:rsidR="00FC65B2" w:rsidRPr="00FC65B2" w:rsidRDefault="003139DB" w:rsidP="00FC65B2">
      <w:pPr>
        <w:pStyle w:val="NormalWeb"/>
        <w:spacing w:line="480" w:lineRule="auto"/>
        <w:ind w:firstLine="720"/>
        <w:rPr>
          <w:bCs/>
        </w:rPr>
      </w:pPr>
      <w:r>
        <w:rPr>
          <w:bCs/>
        </w:rPr>
        <w:t>Based on the results, the VMI appears to be a reliable and valid test for the population surveyed. The different types of tests used in the VMI helped to establish its accuracy. However, it is important to note that the test may not be applicable to the general population, as not everyone has an undergraduate or graduate level of education. Overall, I am pleased with the results of the survey and how it upholds reliability and validity.</w:t>
      </w:r>
    </w:p>
    <w:p w14:paraId="56CA3481" w14:textId="77777777" w:rsidR="006E120A" w:rsidRPr="006E120A" w:rsidRDefault="006E120A" w:rsidP="006E120A">
      <w:pPr>
        <w:pStyle w:val="NormalWeb"/>
        <w:spacing w:line="480" w:lineRule="auto"/>
        <w:rPr>
          <w:bCs/>
        </w:rPr>
      </w:pPr>
    </w:p>
    <w:p w14:paraId="0EFA211B" w14:textId="77777777" w:rsidR="00D05812" w:rsidRDefault="00D05812" w:rsidP="00D05812">
      <w:pPr>
        <w:pStyle w:val="NormalWeb"/>
        <w:spacing w:line="480" w:lineRule="auto"/>
        <w:jc w:val="center"/>
      </w:pPr>
    </w:p>
    <w:p w14:paraId="080A75E1" w14:textId="30EE5ADB" w:rsidR="00AD2B69" w:rsidRDefault="006F7333" w:rsidP="006F7333">
      <w:pPr>
        <w:pStyle w:val="NormalWeb"/>
        <w:spacing w:line="480" w:lineRule="auto"/>
        <w:jc w:val="center"/>
        <w:rPr>
          <w:b/>
          <w:bCs/>
          <w:szCs w:val="22"/>
        </w:rPr>
      </w:pPr>
      <w:r w:rsidRPr="006F7333">
        <w:rPr>
          <w:b/>
          <w:bCs/>
          <w:szCs w:val="22"/>
        </w:rPr>
        <w:lastRenderedPageBreak/>
        <w:t>References</w:t>
      </w:r>
    </w:p>
    <w:p w14:paraId="432055E8" w14:textId="74891711" w:rsidR="00F60A2E" w:rsidRPr="00F60A2E" w:rsidRDefault="00F60A2E" w:rsidP="00F60A2E">
      <w:pPr>
        <w:pStyle w:val="NormalWeb"/>
        <w:spacing w:line="480" w:lineRule="auto"/>
        <w:ind w:left="720" w:hanging="720"/>
        <w:rPr>
          <w:szCs w:val="22"/>
        </w:rPr>
      </w:pPr>
      <w:r w:rsidRPr="00F60A2E">
        <w:rPr>
          <w:szCs w:val="22"/>
        </w:rPr>
        <w:t xml:space="preserve">Sheperis, C. J., Drummond, R. J., &amp; Jones, K. D. (2019). Assessment Procedures for Counselors and Helping Professionals (9th ed.). Pearson Education (US). </w:t>
      </w:r>
      <w:hyperlink r:id="rId6" w:history="1">
        <w:r w:rsidRPr="00932F13">
          <w:rPr>
            <w:rStyle w:val="Hyperlink"/>
            <w:szCs w:val="22"/>
          </w:rPr>
          <w:t>https://mbsdirect.vitalsource.com/books/9780135186831</w:t>
        </w:r>
      </w:hyperlink>
      <w:r>
        <w:rPr>
          <w:szCs w:val="22"/>
        </w:rPr>
        <w:t xml:space="preserve"> </w:t>
      </w:r>
    </w:p>
    <w:p w14:paraId="1136861D" w14:textId="2BBE35E8" w:rsidR="006F7333" w:rsidRPr="006F7333" w:rsidRDefault="006F7333" w:rsidP="006F7333">
      <w:pPr>
        <w:pStyle w:val="NormalWeb"/>
        <w:spacing w:line="480" w:lineRule="auto"/>
        <w:rPr>
          <w:szCs w:val="22"/>
        </w:rPr>
      </w:pPr>
      <w:r>
        <w:rPr>
          <w:szCs w:val="22"/>
        </w:rPr>
        <w:t xml:space="preserve">Values and Motives Questionnaire Manual, (n.d.) </w:t>
      </w:r>
    </w:p>
    <w:p w14:paraId="0A7FACF6" w14:textId="1458F8A8" w:rsidR="00F16A2A" w:rsidRPr="00FD6B06" w:rsidRDefault="00F16A2A" w:rsidP="00FD6B06">
      <w:pPr>
        <w:spacing w:line="480" w:lineRule="auto"/>
        <w:rPr>
          <w:rFonts w:ascii="Times New Roman" w:hAnsi="Times New Roman" w:cs="Times New Roman"/>
        </w:rPr>
      </w:pPr>
    </w:p>
    <w:sectPr w:rsidR="00F16A2A" w:rsidRPr="00FD6B06" w:rsidSect="00344A21">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985C99" w14:textId="77777777" w:rsidR="00577378" w:rsidRDefault="00577378" w:rsidP="00DE7E49">
      <w:r>
        <w:separator/>
      </w:r>
    </w:p>
  </w:endnote>
  <w:endnote w:type="continuationSeparator" w:id="0">
    <w:p w14:paraId="1C4C3B3C" w14:textId="77777777" w:rsidR="00577378" w:rsidRDefault="00577378" w:rsidP="00DE7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6A97B" w14:textId="77777777" w:rsidR="00577378" w:rsidRDefault="00577378" w:rsidP="00DE7E49">
      <w:r>
        <w:separator/>
      </w:r>
    </w:p>
  </w:footnote>
  <w:footnote w:type="continuationSeparator" w:id="0">
    <w:p w14:paraId="6938884A" w14:textId="77777777" w:rsidR="00577378" w:rsidRDefault="00577378" w:rsidP="00DE7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45469596"/>
      <w:docPartObj>
        <w:docPartGallery w:val="Page Numbers (Top of Page)"/>
        <w:docPartUnique/>
      </w:docPartObj>
    </w:sdtPr>
    <w:sdtEndPr>
      <w:rPr>
        <w:rStyle w:val="PageNumber"/>
      </w:rPr>
    </w:sdtEndPr>
    <w:sdtContent>
      <w:p w14:paraId="529B7B46" w14:textId="53308451" w:rsidR="00DE7E49" w:rsidRDefault="00DE7E49" w:rsidP="00932F1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573AE83" w14:textId="77777777" w:rsidR="00DE7E49" w:rsidRDefault="00DE7E49" w:rsidP="00DE7E4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51500129"/>
      <w:docPartObj>
        <w:docPartGallery w:val="Page Numbers (Top of Page)"/>
        <w:docPartUnique/>
      </w:docPartObj>
    </w:sdtPr>
    <w:sdtEndPr>
      <w:rPr>
        <w:rStyle w:val="PageNumber"/>
        <w:rFonts w:ascii="Times New Roman" w:hAnsi="Times New Roman" w:cs="Times New Roman"/>
      </w:rPr>
    </w:sdtEndPr>
    <w:sdtContent>
      <w:p w14:paraId="2FEBDA49" w14:textId="79DEDA7D" w:rsidR="00DE7E49" w:rsidRPr="00DE7E49" w:rsidRDefault="00DE7E49" w:rsidP="00932F13">
        <w:pPr>
          <w:pStyle w:val="Header"/>
          <w:framePr w:wrap="none" w:vAnchor="text" w:hAnchor="margin" w:xAlign="right" w:y="1"/>
          <w:rPr>
            <w:rStyle w:val="PageNumber"/>
            <w:rFonts w:ascii="Times New Roman" w:hAnsi="Times New Roman" w:cs="Times New Roman"/>
          </w:rPr>
        </w:pPr>
        <w:r w:rsidRPr="00DE7E49">
          <w:rPr>
            <w:rStyle w:val="PageNumber"/>
            <w:rFonts w:ascii="Times New Roman" w:hAnsi="Times New Roman" w:cs="Times New Roman"/>
          </w:rPr>
          <w:fldChar w:fldCharType="begin"/>
        </w:r>
        <w:r w:rsidRPr="00DE7E49">
          <w:rPr>
            <w:rStyle w:val="PageNumber"/>
            <w:rFonts w:ascii="Times New Roman" w:hAnsi="Times New Roman" w:cs="Times New Roman"/>
          </w:rPr>
          <w:instrText xml:space="preserve"> PAGE </w:instrText>
        </w:r>
        <w:r w:rsidRPr="00DE7E49">
          <w:rPr>
            <w:rStyle w:val="PageNumber"/>
            <w:rFonts w:ascii="Times New Roman" w:hAnsi="Times New Roman" w:cs="Times New Roman"/>
          </w:rPr>
          <w:fldChar w:fldCharType="separate"/>
        </w:r>
        <w:r w:rsidRPr="00DE7E49">
          <w:rPr>
            <w:rStyle w:val="PageNumber"/>
            <w:rFonts w:ascii="Times New Roman" w:hAnsi="Times New Roman" w:cs="Times New Roman"/>
            <w:noProof/>
          </w:rPr>
          <w:t>1</w:t>
        </w:r>
        <w:r w:rsidRPr="00DE7E49">
          <w:rPr>
            <w:rStyle w:val="PageNumber"/>
            <w:rFonts w:ascii="Times New Roman" w:hAnsi="Times New Roman" w:cs="Times New Roman"/>
          </w:rPr>
          <w:fldChar w:fldCharType="end"/>
        </w:r>
      </w:p>
    </w:sdtContent>
  </w:sdt>
  <w:p w14:paraId="5F653C0D" w14:textId="3B139FDC" w:rsidR="00DE7E49" w:rsidRPr="00DE7E49" w:rsidRDefault="00DE7E49" w:rsidP="00DE7E49">
    <w:pPr>
      <w:pStyle w:val="Header"/>
      <w:ind w:right="360"/>
      <w:rPr>
        <w:rFonts w:ascii="Times New Roman" w:hAnsi="Times New Roman" w:cs="Times New Roman"/>
      </w:rPr>
    </w:pPr>
    <w:r w:rsidRPr="00DE7E49">
      <w:rPr>
        <w:rFonts w:ascii="Times New Roman" w:hAnsi="Times New Roman" w:cs="Times New Roman"/>
      </w:rPr>
      <w:t>EXPLORING RELIABILITY AND VALIDITY</w:t>
    </w:r>
  </w:p>
  <w:p w14:paraId="1C38BAD2" w14:textId="77777777" w:rsidR="00DE7E49" w:rsidRDefault="00DE7E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AAA"/>
    <w:rsid w:val="000115F0"/>
    <w:rsid w:val="000741A3"/>
    <w:rsid w:val="00106DA0"/>
    <w:rsid w:val="00122418"/>
    <w:rsid w:val="001D2D0A"/>
    <w:rsid w:val="001E461B"/>
    <w:rsid w:val="00245D34"/>
    <w:rsid w:val="003139DB"/>
    <w:rsid w:val="0034049B"/>
    <w:rsid w:val="00344A21"/>
    <w:rsid w:val="003A5AAA"/>
    <w:rsid w:val="003E4D7F"/>
    <w:rsid w:val="00500FAB"/>
    <w:rsid w:val="005208E5"/>
    <w:rsid w:val="00577378"/>
    <w:rsid w:val="00594AF1"/>
    <w:rsid w:val="005E1C54"/>
    <w:rsid w:val="005F1CE1"/>
    <w:rsid w:val="00600926"/>
    <w:rsid w:val="0060747F"/>
    <w:rsid w:val="006E120A"/>
    <w:rsid w:val="006F365F"/>
    <w:rsid w:val="006F7333"/>
    <w:rsid w:val="00783028"/>
    <w:rsid w:val="007A03D3"/>
    <w:rsid w:val="007B54B5"/>
    <w:rsid w:val="007F717E"/>
    <w:rsid w:val="00843B66"/>
    <w:rsid w:val="008521BD"/>
    <w:rsid w:val="00880922"/>
    <w:rsid w:val="00970417"/>
    <w:rsid w:val="00992B1E"/>
    <w:rsid w:val="009F7025"/>
    <w:rsid w:val="00AD2B69"/>
    <w:rsid w:val="00B06310"/>
    <w:rsid w:val="00B14235"/>
    <w:rsid w:val="00BE25FE"/>
    <w:rsid w:val="00C57AC7"/>
    <w:rsid w:val="00C726AB"/>
    <w:rsid w:val="00C86026"/>
    <w:rsid w:val="00CE6540"/>
    <w:rsid w:val="00D05812"/>
    <w:rsid w:val="00D202DA"/>
    <w:rsid w:val="00D24523"/>
    <w:rsid w:val="00DB389D"/>
    <w:rsid w:val="00DC5D81"/>
    <w:rsid w:val="00DE7E49"/>
    <w:rsid w:val="00E22C34"/>
    <w:rsid w:val="00E626E7"/>
    <w:rsid w:val="00F16A2A"/>
    <w:rsid w:val="00F350C1"/>
    <w:rsid w:val="00F5567D"/>
    <w:rsid w:val="00F60A2E"/>
    <w:rsid w:val="00FC65B2"/>
    <w:rsid w:val="00FD15CD"/>
    <w:rsid w:val="00FD6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4FA8D0"/>
  <w15:chartTrackingRefBased/>
  <w15:docId w15:val="{D01E91C3-1776-0A49-A759-BBFAA6F1B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E49"/>
    <w:pPr>
      <w:tabs>
        <w:tab w:val="center" w:pos="4680"/>
        <w:tab w:val="right" w:pos="9360"/>
      </w:tabs>
    </w:pPr>
  </w:style>
  <w:style w:type="character" w:customStyle="1" w:styleId="HeaderChar">
    <w:name w:val="Header Char"/>
    <w:basedOn w:val="DefaultParagraphFont"/>
    <w:link w:val="Header"/>
    <w:uiPriority w:val="99"/>
    <w:rsid w:val="00DE7E49"/>
  </w:style>
  <w:style w:type="paragraph" w:styleId="Footer">
    <w:name w:val="footer"/>
    <w:basedOn w:val="Normal"/>
    <w:link w:val="FooterChar"/>
    <w:uiPriority w:val="99"/>
    <w:unhideWhenUsed/>
    <w:rsid w:val="00DE7E49"/>
    <w:pPr>
      <w:tabs>
        <w:tab w:val="center" w:pos="4680"/>
        <w:tab w:val="right" w:pos="9360"/>
      </w:tabs>
    </w:pPr>
  </w:style>
  <w:style w:type="character" w:customStyle="1" w:styleId="FooterChar">
    <w:name w:val="Footer Char"/>
    <w:basedOn w:val="DefaultParagraphFont"/>
    <w:link w:val="Footer"/>
    <w:uiPriority w:val="99"/>
    <w:rsid w:val="00DE7E49"/>
  </w:style>
  <w:style w:type="character" w:styleId="PageNumber">
    <w:name w:val="page number"/>
    <w:basedOn w:val="DefaultParagraphFont"/>
    <w:uiPriority w:val="99"/>
    <w:semiHidden/>
    <w:unhideWhenUsed/>
    <w:rsid w:val="00DE7E49"/>
  </w:style>
  <w:style w:type="paragraph" w:styleId="NormalWeb">
    <w:name w:val="Normal (Web)"/>
    <w:basedOn w:val="Normal"/>
    <w:uiPriority w:val="99"/>
    <w:semiHidden/>
    <w:unhideWhenUsed/>
    <w:rsid w:val="00AD2B6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F60A2E"/>
    <w:rPr>
      <w:color w:val="0563C1" w:themeColor="hyperlink"/>
      <w:u w:val="single"/>
    </w:rPr>
  </w:style>
  <w:style w:type="character" w:styleId="UnresolvedMention">
    <w:name w:val="Unresolved Mention"/>
    <w:basedOn w:val="DefaultParagraphFont"/>
    <w:uiPriority w:val="99"/>
    <w:semiHidden/>
    <w:unhideWhenUsed/>
    <w:rsid w:val="00F60A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0577236">
      <w:bodyDiv w:val="1"/>
      <w:marLeft w:val="0"/>
      <w:marRight w:val="0"/>
      <w:marTop w:val="0"/>
      <w:marBottom w:val="0"/>
      <w:divBdr>
        <w:top w:val="none" w:sz="0" w:space="0" w:color="auto"/>
        <w:left w:val="none" w:sz="0" w:space="0" w:color="auto"/>
        <w:bottom w:val="none" w:sz="0" w:space="0" w:color="auto"/>
        <w:right w:val="none" w:sz="0" w:space="0" w:color="auto"/>
      </w:divBdr>
      <w:divsChild>
        <w:div w:id="6564990">
          <w:marLeft w:val="0"/>
          <w:marRight w:val="0"/>
          <w:marTop w:val="0"/>
          <w:marBottom w:val="0"/>
          <w:divBdr>
            <w:top w:val="none" w:sz="0" w:space="0" w:color="auto"/>
            <w:left w:val="none" w:sz="0" w:space="0" w:color="auto"/>
            <w:bottom w:val="none" w:sz="0" w:space="0" w:color="auto"/>
            <w:right w:val="none" w:sz="0" w:space="0" w:color="auto"/>
          </w:divBdr>
          <w:divsChild>
            <w:div w:id="1156645278">
              <w:marLeft w:val="0"/>
              <w:marRight w:val="0"/>
              <w:marTop w:val="0"/>
              <w:marBottom w:val="0"/>
              <w:divBdr>
                <w:top w:val="none" w:sz="0" w:space="0" w:color="auto"/>
                <w:left w:val="none" w:sz="0" w:space="0" w:color="auto"/>
                <w:bottom w:val="none" w:sz="0" w:space="0" w:color="auto"/>
                <w:right w:val="none" w:sz="0" w:space="0" w:color="auto"/>
              </w:divBdr>
              <w:divsChild>
                <w:div w:id="68289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795484">
      <w:bodyDiv w:val="1"/>
      <w:marLeft w:val="0"/>
      <w:marRight w:val="0"/>
      <w:marTop w:val="0"/>
      <w:marBottom w:val="0"/>
      <w:divBdr>
        <w:top w:val="none" w:sz="0" w:space="0" w:color="auto"/>
        <w:left w:val="none" w:sz="0" w:space="0" w:color="auto"/>
        <w:bottom w:val="none" w:sz="0" w:space="0" w:color="auto"/>
        <w:right w:val="none" w:sz="0" w:space="0" w:color="auto"/>
      </w:divBdr>
      <w:divsChild>
        <w:div w:id="1132558447">
          <w:marLeft w:val="0"/>
          <w:marRight w:val="0"/>
          <w:marTop w:val="0"/>
          <w:marBottom w:val="0"/>
          <w:divBdr>
            <w:top w:val="none" w:sz="0" w:space="0" w:color="auto"/>
            <w:left w:val="none" w:sz="0" w:space="0" w:color="auto"/>
            <w:bottom w:val="none" w:sz="0" w:space="0" w:color="auto"/>
            <w:right w:val="none" w:sz="0" w:space="0" w:color="auto"/>
          </w:divBdr>
          <w:divsChild>
            <w:div w:id="413624532">
              <w:marLeft w:val="0"/>
              <w:marRight w:val="0"/>
              <w:marTop w:val="0"/>
              <w:marBottom w:val="0"/>
              <w:divBdr>
                <w:top w:val="none" w:sz="0" w:space="0" w:color="auto"/>
                <w:left w:val="none" w:sz="0" w:space="0" w:color="auto"/>
                <w:bottom w:val="none" w:sz="0" w:space="0" w:color="auto"/>
                <w:right w:val="none" w:sz="0" w:space="0" w:color="auto"/>
              </w:divBdr>
              <w:divsChild>
                <w:div w:id="21489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539635">
      <w:bodyDiv w:val="1"/>
      <w:marLeft w:val="0"/>
      <w:marRight w:val="0"/>
      <w:marTop w:val="0"/>
      <w:marBottom w:val="0"/>
      <w:divBdr>
        <w:top w:val="none" w:sz="0" w:space="0" w:color="auto"/>
        <w:left w:val="none" w:sz="0" w:space="0" w:color="auto"/>
        <w:bottom w:val="none" w:sz="0" w:space="0" w:color="auto"/>
        <w:right w:val="none" w:sz="0" w:space="0" w:color="auto"/>
      </w:divBdr>
      <w:divsChild>
        <w:div w:id="970280862">
          <w:marLeft w:val="0"/>
          <w:marRight w:val="0"/>
          <w:marTop w:val="0"/>
          <w:marBottom w:val="0"/>
          <w:divBdr>
            <w:top w:val="none" w:sz="0" w:space="0" w:color="auto"/>
            <w:left w:val="none" w:sz="0" w:space="0" w:color="auto"/>
            <w:bottom w:val="none" w:sz="0" w:space="0" w:color="auto"/>
            <w:right w:val="none" w:sz="0" w:space="0" w:color="auto"/>
          </w:divBdr>
          <w:divsChild>
            <w:div w:id="1042098190">
              <w:marLeft w:val="0"/>
              <w:marRight w:val="0"/>
              <w:marTop w:val="0"/>
              <w:marBottom w:val="0"/>
              <w:divBdr>
                <w:top w:val="none" w:sz="0" w:space="0" w:color="auto"/>
                <w:left w:val="none" w:sz="0" w:space="0" w:color="auto"/>
                <w:bottom w:val="none" w:sz="0" w:space="0" w:color="auto"/>
                <w:right w:val="none" w:sz="0" w:space="0" w:color="auto"/>
              </w:divBdr>
              <w:divsChild>
                <w:div w:id="42134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bsdirect.vitalsource.com/books/978013518683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5</Pages>
  <Words>790</Words>
  <Characters>4505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Gerhardt, Hailie Elaine</dc:creator>
  <cp:keywords/>
  <dc:description/>
  <cp:lastModifiedBy>Gerhardt, Hailie Elaine</cp:lastModifiedBy>
  <cp:revision>31</cp:revision>
  <dcterms:created xsi:type="dcterms:W3CDTF">2023-11-08T20:46:00Z</dcterms:created>
  <dcterms:modified xsi:type="dcterms:W3CDTF">2023-11-12T16:54:00Z</dcterms:modified>
</cp:coreProperties>
</file>