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43892" w:rsidRDefault="00000000">
      <w:pPr>
        <w:spacing w:after="52" w:line="259" w:lineRule="auto"/>
        <w:ind w:left="92" w:firstLine="0"/>
        <w:jc w:val="center"/>
      </w:pPr>
      <w:r>
        <w:rPr>
          <w:b/>
          <w:color w:val="991D20"/>
          <w:sz w:val="28"/>
        </w:rPr>
        <w:t xml:space="preserve">TASK 1: PLANNING COMMENTARY </w:t>
      </w:r>
    </w:p>
    <w:p w:rsidR="00143892" w:rsidRDefault="00000000">
      <w:pPr>
        <w:pBdr>
          <w:top w:val="single" w:sz="12" w:space="0" w:color="BF6900"/>
        </w:pBdr>
        <w:shd w:val="clear" w:color="auto" w:fill="EDE8DD"/>
        <w:spacing w:after="180" w:line="250" w:lineRule="auto"/>
        <w:ind w:left="0" w:firstLine="0"/>
      </w:pPr>
      <w:r>
        <w:rPr>
          <w:sz w:val="20"/>
        </w:rPr>
        <w:t>Respond to the prompts below (</w:t>
      </w:r>
      <w:r>
        <w:rPr>
          <w:b/>
          <w:sz w:val="20"/>
        </w:rPr>
        <w:t>no more than 9 single-spaced pages, including prompts</w:t>
      </w:r>
      <w:r>
        <w:rPr>
          <w:sz w:val="20"/>
        </w:rPr>
        <w:t>) by typing your responses within the brackets. Do not delete or alter the prompts. Pages exceeding the maximum will not be scored.</w:t>
      </w:r>
      <w:r>
        <w:rPr>
          <w:b/>
          <w:sz w:val="20"/>
        </w:rPr>
        <w:t xml:space="preserve"> </w:t>
      </w:r>
    </w:p>
    <w:p w:rsidR="00143892" w:rsidRDefault="00000000">
      <w:pPr>
        <w:pStyle w:val="Heading1"/>
        <w:ind w:left="345" w:hanging="360"/>
      </w:pPr>
      <w:r>
        <w:t xml:space="preserve">Central Focus </w:t>
      </w:r>
    </w:p>
    <w:p w:rsidR="00143892" w:rsidRDefault="00000000">
      <w:pPr>
        <w:numPr>
          <w:ilvl w:val="0"/>
          <w:numId w:val="1"/>
        </w:numPr>
        <w:ind w:hanging="360"/>
      </w:pPr>
      <w:r>
        <w:t xml:space="preserve">Describe the central focus and purpose of the content you will teach in the learning segment. </w:t>
      </w:r>
    </w:p>
    <w:p w:rsidR="00195A04" w:rsidRDefault="00000000" w:rsidP="00195A04">
      <w:pPr>
        <w:ind w:left="355"/>
      </w:pPr>
      <w:r>
        <w:t>[</w:t>
      </w:r>
      <w:r w:rsidR="00195A04">
        <w:t>The central focus and purpose of this learning segment is to develop students’ competency in overhand throwing techniques while fostering overall physical fitness and movement skills. The lessons are designed to enhance students’ coordination and accuracy by incorporating activities that integrate psychomotor, cognitive, and affective learning. Students will gain a deeper understanding of these movements and their applications in various sports and activities.</w:t>
      </w:r>
    </w:p>
    <w:p w:rsidR="00195A04" w:rsidRDefault="00195A04" w:rsidP="00195A04">
      <w:pPr>
        <w:ind w:left="355"/>
      </w:pPr>
      <w:r>
        <w:t xml:space="preserve">I like my lessons to introduce a basic foundation of skills to students and have them actively learn through the process of practicing the skills. Students come from different backgrounds and have different assets they bring to each activity we do. Students who have a background of athletics may already know some of the skills, but other students may be learning them for the first time. It is crucial that the teacher breaks down the skills into simplified instruction, and allows students the opportunity to use that information to guide their learning. </w:t>
      </w:r>
    </w:p>
    <w:p w:rsidR="00195A04" w:rsidRDefault="00195A04" w:rsidP="00195A04">
      <w:pPr>
        <w:ind w:left="355"/>
      </w:pPr>
      <w:r>
        <w:t>In this segment, students begin by learning the fundamentals of throwing. I provide simplified cues to help build a foundation of skills that they then get to practice at stations. The reptation of practicing these skills helps reinforce the fundamentals and peer interactions help keep the students engaged. Once the students have developed the foundational skills, they can use these skills in a game like setting that create a memorable learning experience that can carry over into future activities.</w:t>
      </w:r>
    </w:p>
    <w:p w:rsidR="0063256F" w:rsidRDefault="00195A04" w:rsidP="00195A04">
      <w:pPr>
        <w:ind w:left="355"/>
      </w:pPr>
      <w:r>
        <w:t>Once students have learned the fundamentals of catching and throwing, they can use these same skills to serve as a foundation for our baseball unit. Although the focus is on different skills such as hitting and fielding, students will still need to be able to recall their previously learned skills. Just like the previous lesson, the lesson will teach students the fundamentals of striking in baseball while also introducing modified rules of baseball. This baseline of understanding can then be used in our kicking unit where students will eventually play a kickball game that aligns with our baseball unit.</w:t>
      </w:r>
      <w:r w:rsidR="0063256F">
        <w:t xml:space="preserve"> </w:t>
      </w:r>
    </w:p>
    <w:p w:rsidR="00195A04" w:rsidRDefault="0063256F" w:rsidP="00195A04">
      <w:pPr>
        <w:ind w:left="355"/>
      </w:pPr>
      <w:r>
        <w:t>The baseball and kickball games are pretty similar concepts. Because of this, students will use their previously learned concepts to apply their new kicking skills in a game like setting. Although kicking is a new skill, students are still expected to field and throw using our previously learned skills. These previously learned skills help serve as a foundation to help students participate in a variety of different games.</w:t>
      </w:r>
    </w:p>
    <w:p w:rsidR="00143892" w:rsidRDefault="00195A04" w:rsidP="00195A04">
      <w:pPr>
        <w:ind w:left="355"/>
      </w:pPr>
      <w:r>
        <w:t>The end goal of each lesson is to expose students to different games and skills that promote being active and trying new things. My hope is that students enjoy playing these games and they can use these experiences to promote an active lifestyle and lifetime hobbies.]</w:t>
      </w:r>
      <w:r w:rsidR="00000000">
        <w:t xml:space="preserve"> </w:t>
      </w:r>
    </w:p>
    <w:p w:rsidR="00143892" w:rsidRDefault="00000000">
      <w:pPr>
        <w:numPr>
          <w:ilvl w:val="0"/>
          <w:numId w:val="1"/>
        </w:numPr>
        <w:spacing w:after="48" w:line="296" w:lineRule="auto"/>
        <w:ind w:hanging="360"/>
      </w:pPr>
      <w:r>
        <w:t xml:space="preserve">Given the central focus, describe how the standards and learning objectives within your learning segment address the development of student competencies in the psychomotor domain and at least one other learning domain (cognitive and/or affective) related to movement patterns, performance concepts, and/or health-enhancing physical fitness.  </w:t>
      </w:r>
    </w:p>
    <w:p w:rsidR="00195A04" w:rsidRDefault="00000000" w:rsidP="00195A04">
      <w:pPr>
        <w:ind w:left="355"/>
      </w:pPr>
      <w:r>
        <w:lastRenderedPageBreak/>
        <w:t>[</w:t>
      </w:r>
      <w:r w:rsidR="00195A04">
        <w:t xml:space="preserve">The standards and learning objectives support student development across multiple domains. The psychomotor domain is emphasized through the correct execution of overhand throws, hitting, fielding, and in kicking. These lessons focus on developing coordination, balance, and agility by introducing skills and allowing students the opportunity to develop their mind muscle connection. These skills are challenging, but can serve as crucial part of a child’s development at the elementary level. The cognitive domain is addressed as students analyze throwing techniques, apply movement concepts, and assess their performance. </w:t>
      </w:r>
    </w:p>
    <w:p w:rsidR="00195A04" w:rsidRDefault="00195A04" w:rsidP="00195A04">
      <w:pPr>
        <w:ind w:left="355"/>
      </w:pPr>
      <w:r>
        <w:t>The three standards I used for my learning segment come from the Missouri Physical Education Standards. These standards are written in vague manner that allows the teacher to be creative and flexible when creating their lessons. For example, Standard HM1F4 states: “I can catch, throw, dribble, and strike while moving in a game.” This standard is all encompassing to what skills students need to know while in their elementary pe class. I try to have my lessons align with one or more of those skills. I do incorporate SHAPE America Standards for the sake of my assignments, but they are not required for in our district. These standards are also written in a way that allows the teacher to be creative and flexible.</w:t>
      </w:r>
    </w:p>
    <w:p w:rsidR="00143892" w:rsidRDefault="00195A04" w:rsidP="00195A04">
      <w:pPr>
        <w:ind w:left="355"/>
      </w:pPr>
      <w:r>
        <w:t>In the throwing lesson, Standard HM1F4 aligns with these skills used, and I was able to create a game that allows students to continue their learning. In the baseball lesson, I used Standard HM1C4 which states: “I can catch throw, dribble, and strike while moving in a game. In this lesson, I was able to use striking (hitting) and catching (fielding) elements that would later be used in a game setting. For lesson 3, I used Standard HM1F4: “I can catch, throw, dribble, and strike while moving in a game”. This lesson uses striking (kicking) and dribbling in stations, and latter uses these skills in a kickball game.</w:t>
      </w:r>
      <w:r w:rsidR="00000000">
        <w:t xml:space="preserve">] </w:t>
      </w:r>
    </w:p>
    <w:p w:rsidR="00143892" w:rsidRDefault="00000000">
      <w:pPr>
        <w:ind w:left="705" w:hanging="360"/>
      </w:pPr>
      <w:r>
        <w:t xml:space="preserve">c. Explain how your plans build on each other and include tasks that develop the student competencies described above while making connections between the psychomotor domain and at least one other learning domain (cognitive and/or affective). </w:t>
      </w:r>
    </w:p>
    <w:p w:rsidR="00195A04" w:rsidRDefault="00000000" w:rsidP="00195A04">
      <w:pPr>
        <w:ind w:left="355"/>
      </w:pPr>
      <w:r>
        <w:t>[</w:t>
      </w:r>
      <w:r w:rsidR="00195A04">
        <w:t>The lesson sequence is designed for progressive skill-building. Students begin by learning the fundamental mechanics of each skill through isolated drills, then transition to pater-based activities to refine their technique, and finally play in a game-based activity. This process allows students to reinforce skill retention and their cognitive understanding of their performance.</w:t>
      </w:r>
    </w:p>
    <w:p w:rsidR="00195A04" w:rsidRDefault="00195A04" w:rsidP="00195A04">
      <w:pPr>
        <w:ind w:left="355"/>
      </w:pPr>
      <w:r>
        <w:t xml:space="preserve">For the cognitive domain the concepts build upon each other and allow students to gain a good grasp of the skills. I will give students a foundation of information about the skills, then they will practice these skills. Once the students have a good understanding of each skill, they then get an opportunity to use the skills in a game like setting. </w:t>
      </w:r>
    </w:p>
    <w:p w:rsidR="00195A04" w:rsidRDefault="00195A04" w:rsidP="00195A04">
      <w:pPr>
        <w:ind w:left="355"/>
      </w:pPr>
      <w:r>
        <w:t>For the psychomotor domain, students get an opportunity to gain awareness of their bodies and how it relates to the movement. Instead of telling a student to kick a ball, I give them demonstration of kicking with form (both correctly and incorrectly), they get a chance to practice on their own, and then they practice with a classmate. I also give the students verbal ques to reinforce their form, and this helps simplify the movement. When students practice, they have an opportunity to use those ques and build a mind muscle connection when performing the skill. I do my best to walk around the gym and provide feedback and specific instruction to students who are still working on making that connection.</w:t>
      </w:r>
      <w:r w:rsidR="00000000">
        <w:t xml:space="preserve">] </w:t>
      </w:r>
    </w:p>
    <w:p w:rsidR="00143892" w:rsidRDefault="00000000" w:rsidP="00195A04">
      <w:r>
        <w:t xml:space="preserve">d. Explain how you will structure the learning environment to be </w:t>
      </w:r>
      <w:r>
        <w:rPr>
          <w:b/>
        </w:rPr>
        <w:t>both emotionally and physically safe</w:t>
      </w:r>
      <w:r>
        <w:t>.</w:t>
      </w:r>
      <w:r>
        <w:rPr>
          <w:b/>
        </w:rPr>
        <w:t xml:space="preserve"> </w:t>
      </w:r>
      <w:r>
        <w:t xml:space="preserve"> </w:t>
      </w:r>
    </w:p>
    <w:p w:rsidR="00195A04" w:rsidRDefault="00000000" w:rsidP="00195A04">
      <w:pPr>
        <w:ind w:left="355"/>
      </w:pPr>
      <w:r>
        <w:t>[</w:t>
      </w:r>
      <w:r w:rsidR="00195A04">
        <w:t xml:space="preserve">The learning environment is instructed to be emotionally and physically safe by establishing clear behavioral expectations. Our class rules are posted by the white board and review periodically to reinforce expectation. Our first rule is to respect myself. Students can do this </w:t>
      </w:r>
      <w:r w:rsidR="00195A04">
        <w:lastRenderedPageBreak/>
        <w:t>by being in control of themselves and listening to instruction. Our second rule is to respect other. This can pertain to keeping hands to self, being aware of other students’ personal space, and not talking to others while the teacher is talking. The final rule is to respect the equipment. The equipment in our gym is really nice and we would like to keep it that way. Also, we want to be safe with the equipment. If students are aware of if they not safe with the equipment they are more likely to hurt someone. If we cannot control ourselves or the equipment, they will have to sit out and watch the other students have fun.</w:t>
      </w:r>
    </w:p>
    <w:p w:rsidR="00143892" w:rsidRDefault="00195A04" w:rsidP="00195A04">
      <w:pPr>
        <w:ind w:left="355"/>
      </w:pPr>
      <w:r>
        <w:t>Students know the gym is an emotionally safe place as well. There are different signs strategically placed around the gym for students if they feel upset, sad, tired, or sick. If a student needs a second, they know they can go sit by the specific sign and a teacher will come check in on them as soon as they can. I try to also provide positive reinforcement to students as much as I can to build confidence and model positive behavior for the classroom. Students are encouraged to support each other as well by giving peer feedback and working as a team. When I see positive student interactions, I try to give praise and tell the class to reinforce positivity and good behavior.</w:t>
      </w:r>
      <w:r w:rsidR="00000000">
        <w:t>]</w:t>
      </w:r>
    </w:p>
    <w:p w:rsidR="00143892" w:rsidRDefault="00000000">
      <w:pPr>
        <w:pStyle w:val="Heading1"/>
        <w:ind w:left="345" w:hanging="360"/>
      </w:pPr>
      <w:proofErr w:type="spellStart"/>
      <w:r>
        <w:t>Kn</w:t>
      </w:r>
      <w:proofErr w:type="spellEnd"/>
      <w:r>
        <w:t xml:space="preserve">owledge of Students to Inform Teaching </w:t>
      </w:r>
    </w:p>
    <w:p w:rsidR="00143892" w:rsidRDefault="00000000">
      <w:pPr>
        <w:spacing w:after="211"/>
        <w:ind w:left="355"/>
      </w:pPr>
      <w:r>
        <w:t xml:space="preserve">For each of the prompts below (2a–b), describe what you know about </w:t>
      </w:r>
      <w:r>
        <w:rPr>
          <w:b/>
        </w:rPr>
        <w:t xml:space="preserve">your </w:t>
      </w:r>
      <w:r>
        <w:t xml:space="preserve">students </w:t>
      </w:r>
      <w:r>
        <w:rPr>
          <w:b/>
        </w:rPr>
        <w:t>with respect to the central focus</w:t>
      </w:r>
      <w:r>
        <w:t xml:space="preserve"> of the learning segment.  </w:t>
      </w:r>
    </w:p>
    <w:p w:rsidR="00143892" w:rsidRDefault="00000000">
      <w:pPr>
        <w:pBdr>
          <w:top w:val="single" w:sz="12" w:space="0" w:color="BF6900"/>
        </w:pBdr>
        <w:shd w:val="clear" w:color="auto" w:fill="EDE8DD"/>
        <w:spacing w:after="160" w:line="228" w:lineRule="auto"/>
        <w:ind w:left="355"/>
      </w:pPr>
      <w:r>
        <w:t xml:space="preserve">Consider the variety of learners in your class who may require different strategies/support (e.g., students with IEPs or 504 plans, English language learners, students with higher/lower proficiency levels, underperforming students or those with gaps in content knowledge, or students needing greater support or challenge). </w:t>
      </w:r>
    </w:p>
    <w:p w:rsidR="00143892" w:rsidRDefault="00000000">
      <w:pPr>
        <w:numPr>
          <w:ilvl w:val="0"/>
          <w:numId w:val="2"/>
        </w:numPr>
        <w:spacing w:after="89" w:line="259" w:lineRule="auto"/>
        <w:ind w:hanging="360"/>
      </w:pPr>
      <w:r>
        <w:t>Prior academic learning and prerequisite skills related to the central focus—</w:t>
      </w:r>
      <w:r>
        <w:rPr>
          <w:b/>
        </w:rPr>
        <w:t>Cite evidence of what students know, what they can do, and what they are still learning to do.</w:t>
      </w:r>
      <w:r>
        <w:t xml:space="preserve">  </w:t>
      </w:r>
    </w:p>
    <w:p w:rsidR="00195A04" w:rsidRDefault="00000000" w:rsidP="00195A04">
      <w:pPr>
        <w:ind w:left="355"/>
      </w:pPr>
      <w:r>
        <w:t>[</w:t>
      </w:r>
      <w:r w:rsidR="00195A04">
        <w:t xml:space="preserve">Students enter each lesson with varying levels of experience, so I try to assume the students have no prior knowledge if we are working on a new skill. Because of this, most of my lessons begin with reviewing the similar skills we covered previously and introducing the new skills we will be learning. I do this because the elementary students only see me once a week, and if they missed the previous class, they could feel anxious about being behind. </w:t>
      </w:r>
    </w:p>
    <w:p w:rsidR="00195A04" w:rsidRDefault="00195A04" w:rsidP="00195A04">
      <w:pPr>
        <w:ind w:left="355"/>
      </w:pPr>
      <w:r>
        <w:t>Another way I can assess what student already know is by starting the class with a diagnostic question to see what they remember from a previous lesson. Some students may remember, but for others this is a good way to fill in the gaps or remind them of skills they have learned.</w:t>
      </w:r>
    </w:p>
    <w:p w:rsidR="00143892" w:rsidRDefault="00195A04" w:rsidP="00195A04">
      <w:pPr>
        <w:ind w:left="355"/>
      </w:pPr>
      <w:r>
        <w:t>Formative assessments can be used as skills check to track students learning, but it can be difficult to assign quizzes or tests to track this since students do not bring a back pack or pencil to class. If I was going to assess learning, I would observe students in the independent practice portion of class and assess their ability to perform the learned skills.</w:t>
      </w:r>
      <w:r w:rsidR="00000000">
        <w:t xml:space="preserve">] </w:t>
      </w:r>
    </w:p>
    <w:p w:rsidR="00143892" w:rsidRDefault="00000000">
      <w:pPr>
        <w:numPr>
          <w:ilvl w:val="0"/>
          <w:numId w:val="2"/>
        </w:numPr>
        <w:spacing w:after="89" w:line="259" w:lineRule="auto"/>
        <w:ind w:hanging="360"/>
      </w:pPr>
      <w:r>
        <w:t>Personal, cultural, and community assets related to the central focus—</w:t>
      </w:r>
      <w:r>
        <w:rPr>
          <w:b/>
        </w:rPr>
        <w:t xml:space="preserve">What do you know about your students’ everyday experiences, cultural and language backgrounds and practices, and interests? </w:t>
      </w:r>
    </w:p>
    <w:p w:rsidR="00143892" w:rsidRDefault="00000000" w:rsidP="00195A04">
      <w:pPr>
        <w:ind w:left="355"/>
      </w:pPr>
      <w:r>
        <w:t>[</w:t>
      </w:r>
      <w:r w:rsidR="00195A04">
        <w:t xml:space="preserve">My elementary school is located in The Ozarks, so we are surrounded by big cities like Branson and Springfield. Half of our students come from two parent families, nice houses, and sport nice clothes, but the other half come from single parent homes or live with relatives other than their parents. There is a drastic difference between the two populations. Our elementary school is fairly large and continues to grow as houses and apartment </w:t>
      </w:r>
      <w:r w:rsidR="00195A04">
        <w:lastRenderedPageBreak/>
        <w:t>complexes continue to be built in the area. The town is constantly growing with a mixture of students living in the countryside and other that live in the suburbs. Although it is a big town, the community is very close and is supportive of the school. Over the years, we have had an increase of Russian and Ukrainian students move into the district. Some of them speak little to no English, so that presents a barrier for teachers when giving instruction. Some students have begun getting involved with club sports, but many of the students live a sedentary lifestyle.]</w:t>
      </w:r>
      <w:r>
        <w:t xml:space="preserve">  </w:t>
      </w:r>
    </w:p>
    <w:p w:rsidR="00143892" w:rsidRDefault="00000000">
      <w:pPr>
        <w:pStyle w:val="Heading1"/>
        <w:ind w:left="345" w:hanging="360"/>
      </w:pPr>
      <w:r>
        <w:t xml:space="preserve">Supporting Students’ Physical Education Learning </w:t>
      </w:r>
    </w:p>
    <w:p w:rsidR="00143892" w:rsidRDefault="00000000">
      <w:pPr>
        <w:ind w:left="355"/>
      </w:pPr>
      <w:r>
        <w:t xml:space="preserve">Respond to prompts 3a–c below. To support your justifications, refer to the instructional materials and lesson plans you have included as part of Planning Task 1. </w:t>
      </w:r>
      <w:r>
        <w:rPr>
          <w:b/>
        </w:rPr>
        <w:t>In addition,</w:t>
      </w:r>
      <w:r>
        <w:t xml:space="preserve"> </w:t>
      </w:r>
      <w:r>
        <w:rPr>
          <w:b/>
        </w:rPr>
        <w:t xml:space="preserve">use principles from research and/or theory to support your justifications. </w:t>
      </w:r>
    </w:p>
    <w:p w:rsidR="00143892" w:rsidRDefault="00000000">
      <w:pPr>
        <w:ind w:left="705" w:hanging="360"/>
      </w:pPr>
      <w:r>
        <w:t xml:space="preserve">a. Justify how your understanding of your students’ prior academic learning and personal, cultural, and community assets (from prompts 2a–b above) guided your choice or adaptation of learning tasks and materials/equipment. Be explicit about the connections between the learning tasks and students’ prior academic learning, their assets, and research/theory. </w:t>
      </w:r>
    </w:p>
    <w:p w:rsidR="00195A04" w:rsidRDefault="00000000">
      <w:pPr>
        <w:ind w:left="355"/>
      </w:pPr>
      <w:r>
        <w:t>[</w:t>
      </w:r>
      <w:r w:rsidR="00195A04">
        <w:t>My understanding of student’s prior academic learning and personal, cultural and community assets has directly influenced my decision making for learning tasks and materials. By recognizing the varying levels of skill proficiency among students, I implement differentiated instructional strategies, such a scaffolding and peer-assisted learning, to ensure that all students can engage with the activities. Research has proven the importance of scaffolding and supports students when they are learning new skills.</w:t>
      </w:r>
    </w:p>
    <w:p w:rsidR="003A2B1B" w:rsidRDefault="00195A04">
      <w:pPr>
        <w:ind w:left="355"/>
      </w:pPr>
      <w:r>
        <w:t>Due to my students diverse social and cultural backgrounds, I try to incorporate cooperative learning structures that align with Bandura’s Social Cognitive Theory</w:t>
      </w:r>
      <w:r w:rsidR="003A2B1B">
        <w:t xml:space="preserve"> (2003)</w:t>
      </w:r>
      <w:r>
        <w:t xml:space="preserve">. This theory highlights the importance of social modeling when acquiring new skills. For example, Students who patriciate in organized sports can serve as peer models. This can help students develop confidence and competence in physical activities that may be challenging. I can also provide modified games and skill building stations that emphasize individual progress rather than competition. </w:t>
      </w:r>
      <w:r>
        <w:t>I also understand a majority of my students live sedentary lifestyles, so I to structure my class to make sure students move as much as possible while they are in PE.</w:t>
      </w:r>
    </w:p>
    <w:p w:rsidR="003A2B1B" w:rsidRDefault="003A2B1B" w:rsidP="003A2B1B">
      <w:pPr>
        <w:rPr>
          <w:bCs/>
        </w:rPr>
      </w:pPr>
      <w:r>
        <w:t xml:space="preserve">Bandura, A., Davidson, H. F., &amp; Davidson, J. (2003). </w:t>
      </w:r>
      <w:r>
        <w:rPr>
          <w:i/>
          <w:iCs/>
        </w:rPr>
        <w:t>Bandura’s social cognitive theory:       an introduction</w:t>
      </w:r>
      <w:r>
        <w:t>. Davidson Films, Inc.</w:t>
      </w:r>
      <w:r>
        <w:t>]</w:t>
      </w:r>
    </w:p>
    <w:p w:rsidR="003A2B1B" w:rsidRDefault="003A2B1B">
      <w:pPr>
        <w:ind w:left="355"/>
      </w:pPr>
    </w:p>
    <w:p w:rsidR="00143892" w:rsidRDefault="00000000" w:rsidP="00195A04">
      <w:pPr>
        <w:ind w:left="360" w:firstLine="0"/>
      </w:pPr>
      <w:r>
        <w:t xml:space="preserve">b. Describe and justify why your instructional strategies and planned supports are appropriate for </w:t>
      </w:r>
      <w:r>
        <w:rPr>
          <w:b/>
        </w:rPr>
        <w:t>the whole class, individuals, and/or groups of students with specific learning needs</w:t>
      </w:r>
      <w:r>
        <w:t xml:space="preserve">. </w:t>
      </w:r>
    </w:p>
    <w:p w:rsidR="00195A04" w:rsidRDefault="00000000">
      <w:pPr>
        <w:ind w:left="355"/>
      </w:pPr>
      <w:r>
        <w:t>[</w:t>
      </w:r>
      <w:r w:rsidR="00195A04">
        <w:t>My lesson format is very consistent, so my students should know what to expect in PE. When students walk in the gym, they know we start with our warmup. After our warm up they know to come sit on the white line so I can introduce the lesson. This routine provides structure and familiarity. When giving instruction, I also provide visuals and posters so students can have reminders of the steps if they forget.</w:t>
      </w:r>
    </w:p>
    <w:p w:rsidR="00195A04" w:rsidRDefault="00195A04">
      <w:pPr>
        <w:ind w:left="355"/>
      </w:pPr>
      <w:r>
        <w:t>After I explain the lesson, I always provide demonstrations and thoroughly explain what students can expect at each station. As students perform the skills at their stations, I like to assist and give feedback so students can know how they are doing with the particular skill.</w:t>
      </w:r>
    </w:p>
    <w:p w:rsidR="00143892" w:rsidRDefault="00195A04">
      <w:pPr>
        <w:ind w:left="355"/>
      </w:pPr>
      <w:r>
        <w:lastRenderedPageBreak/>
        <w:t>I also like to provide modified equipment and alterations to distances to help support students who are struggling. Sometimes using a bigger/softer ball can help struggling students build confidence in a particular activity.</w:t>
      </w:r>
      <w:r w:rsidR="00000000">
        <w:t xml:space="preserve">] </w:t>
      </w:r>
    </w:p>
    <w:p w:rsidR="00143892" w:rsidRDefault="00000000">
      <w:pPr>
        <w:spacing w:after="211"/>
        <w:ind w:left="705" w:hanging="360"/>
      </w:pPr>
      <w:r>
        <w:t xml:space="preserve">c. Describe common student errors or misunderstandings within your central focus and how you will address them. </w:t>
      </w:r>
    </w:p>
    <w:p w:rsidR="00143892" w:rsidRDefault="00000000">
      <w:pPr>
        <w:pBdr>
          <w:top w:val="single" w:sz="12" w:space="0" w:color="BF6900"/>
        </w:pBdr>
        <w:shd w:val="clear" w:color="auto" w:fill="EDE8DD"/>
        <w:spacing w:after="160" w:line="228" w:lineRule="auto"/>
        <w:ind w:left="730"/>
      </w:pPr>
      <w:r>
        <w:t xml:space="preserve">Consider the variety of learners in your class who may require different strategies/ support (e.g., students with IEPs or 504 plans, English language learners, students with higher/lower proficiency levels, underperforming students or those with gaps in content knowledge, or students needing greater support or challenge). </w:t>
      </w:r>
    </w:p>
    <w:p w:rsidR="00195A04" w:rsidRDefault="00000000" w:rsidP="00195A04">
      <w:pPr>
        <w:ind w:left="355"/>
      </w:pPr>
      <w:r>
        <w:t>[</w:t>
      </w:r>
      <w:r w:rsidR="00195A04">
        <w:t>A common error in our throwing unit is students will attempt to step with the wrong foot. I explain at the beginning of the lesson the importance of stepping with the opposite foot in relation to my throwing hand. No matter how many reminders you give, some students struggle with this part of the throw. I usually address the issue when students are working on their skills at the stations. I usually encourage students and remind them to use the opposite foot. A demonstration usually corrects their form, and then they are back to practicing the skill.</w:t>
      </w:r>
    </w:p>
    <w:p w:rsidR="00143892" w:rsidRDefault="00195A04" w:rsidP="00195A04">
      <w:pPr>
        <w:ind w:left="355"/>
      </w:pPr>
      <w:r>
        <w:t>When catching, I have noticed that some students will try to turn their head when the ball in approaching. The fear of getting hit by the ball is tough to unteach, but I have found that asking them if it helps them catch if they close their eyes. This usually gets a laugh and students respond with a no. From here I remind them the importance of keeping their eye one the ball. “You can’t catch what you can’t see, so really focus on keeping the eye on the ball”. Once students are reminded the focus on keeping their eye on the ball.</w:t>
      </w:r>
      <w:r w:rsidR="00000000">
        <w:t xml:space="preserve">] </w:t>
      </w:r>
    </w:p>
    <w:p w:rsidR="00143892" w:rsidRDefault="00000000">
      <w:pPr>
        <w:pStyle w:val="Heading1"/>
        <w:spacing w:after="167"/>
        <w:ind w:left="345" w:hanging="360"/>
      </w:pPr>
      <w:r>
        <w:t xml:space="preserve">Supporting Physical Education Development Through Language </w:t>
      </w:r>
    </w:p>
    <w:p w:rsidR="00143892" w:rsidRDefault="00000000">
      <w:pPr>
        <w:pBdr>
          <w:top w:val="single" w:sz="12" w:space="0" w:color="BF6900"/>
        </w:pBdr>
        <w:shd w:val="clear" w:color="auto" w:fill="EDE8DD"/>
        <w:spacing w:after="160" w:line="228" w:lineRule="auto"/>
        <w:ind w:left="355"/>
      </w:pPr>
      <w:r>
        <w:t xml:space="preserve">As you respond to prompts 4a–d, consider the range of students’ language assets and needs—what do students already know, what are they struggling with, and/or what is new to them?  </w:t>
      </w:r>
    </w:p>
    <w:p w:rsidR="00143892" w:rsidRDefault="00000000">
      <w:pPr>
        <w:numPr>
          <w:ilvl w:val="0"/>
          <w:numId w:val="3"/>
        </w:numPr>
        <w:spacing w:after="20"/>
        <w:ind w:hanging="360"/>
      </w:pPr>
      <w:r>
        <w:rPr>
          <w:b/>
        </w:rPr>
        <w:t>Language Function</w:t>
      </w:r>
      <w:r>
        <w:t xml:space="preserve">. Using information about your students’ language assets and needs, identify </w:t>
      </w:r>
      <w:r>
        <w:rPr>
          <w:b/>
        </w:rPr>
        <w:t>one</w:t>
      </w:r>
      <w:r>
        <w:t xml:space="preserve"> language function essential for student learning within your central focus. Listed below are some sample language functions. You may choose one of these or another more appropriate to your learning segment. </w:t>
      </w:r>
    </w:p>
    <w:tbl>
      <w:tblPr>
        <w:tblStyle w:val="TableGrid"/>
        <w:tblW w:w="8617" w:type="dxa"/>
        <w:tblInd w:w="736" w:type="dxa"/>
        <w:tblCellMar>
          <w:top w:w="73" w:type="dxa"/>
          <w:left w:w="164" w:type="dxa"/>
          <w:bottom w:w="0" w:type="dxa"/>
          <w:right w:w="115" w:type="dxa"/>
        </w:tblCellMar>
        <w:tblLook w:val="04A0" w:firstRow="1" w:lastRow="0" w:firstColumn="1" w:lastColumn="0" w:noHBand="0" w:noVBand="1"/>
      </w:tblPr>
      <w:tblGrid>
        <w:gridCol w:w="1437"/>
        <w:gridCol w:w="1436"/>
        <w:gridCol w:w="1436"/>
        <w:gridCol w:w="1436"/>
        <w:gridCol w:w="1436"/>
        <w:gridCol w:w="1436"/>
      </w:tblGrid>
      <w:tr w:rsidR="00143892">
        <w:trPr>
          <w:trHeight w:val="408"/>
        </w:trPr>
        <w:tc>
          <w:tcPr>
            <w:tcW w:w="1436" w:type="dxa"/>
            <w:tcBorders>
              <w:top w:val="single" w:sz="6" w:space="0" w:color="ACA596"/>
              <w:left w:val="single" w:sz="6" w:space="0" w:color="ACA596"/>
              <w:bottom w:val="single" w:sz="6" w:space="0" w:color="ACA596"/>
              <w:right w:val="single" w:sz="6" w:space="0" w:color="ACA596"/>
            </w:tcBorders>
          </w:tcPr>
          <w:p w:rsidR="00143892" w:rsidRDefault="00000000">
            <w:pPr>
              <w:spacing w:after="0" w:line="259" w:lineRule="auto"/>
              <w:ind w:left="0" w:right="53" w:firstLine="0"/>
              <w:jc w:val="center"/>
            </w:pPr>
            <w:r>
              <w:t>Analyze</w:t>
            </w:r>
          </w:p>
        </w:tc>
        <w:tc>
          <w:tcPr>
            <w:tcW w:w="1436" w:type="dxa"/>
            <w:tcBorders>
              <w:top w:val="single" w:sz="6" w:space="0" w:color="ACA596"/>
              <w:left w:val="single" w:sz="6" w:space="0" w:color="ACA596"/>
              <w:bottom w:val="single" w:sz="6" w:space="0" w:color="ACA596"/>
              <w:right w:val="single" w:sz="6" w:space="0" w:color="ACA596"/>
            </w:tcBorders>
          </w:tcPr>
          <w:p w:rsidR="00143892" w:rsidRDefault="00000000">
            <w:pPr>
              <w:spacing w:after="0" w:line="259" w:lineRule="auto"/>
              <w:ind w:left="0" w:right="43" w:firstLine="0"/>
              <w:jc w:val="center"/>
            </w:pPr>
            <w:r>
              <w:t>Compare</w:t>
            </w:r>
          </w:p>
        </w:tc>
        <w:tc>
          <w:tcPr>
            <w:tcW w:w="1436" w:type="dxa"/>
            <w:tcBorders>
              <w:top w:val="single" w:sz="6" w:space="0" w:color="ACA596"/>
              <w:left w:val="single" w:sz="6" w:space="0" w:color="ACA596"/>
              <w:bottom w:val="single" w:sz="6" w:space="0" w:color="ACA596"/>
              <w:right w:val="single" w:sz="6" w:space="0" w:color="ACA596"/>
            </w:tcBorders>
          </w:tcPr>
          <w:p w:rsidR="00143892" w:rsidRDefault="00000000">
            <w:pPr>
              <w:spacing w:after="0" w:line="259" w:lineRule="auto"/>
              <w:ind w:left="0" w:right="44" w:firstLine="0"/>
              <w:jc w:val="center"/>
            </w:pPr>
            <w:r>
              <w:t>Evaluate</w:t>
            </w:r>
          </w:p>
        </w:tc>
        <w:tc>
          <w:tcPr>
            <w:tcW w:w="1436" w:type="dxa"/>
            <w:tcBorders>
              <w:top w:val="single" w:sz="6" w:space="0" w:color="ACA596"/>
              <w:left w:val="single" w:sz="6" w:space="0" w:color="ACA596"/>
              <w:bottom w:val="single" w:sz="6" w:space="0" w:color="ACA596"/>
              <w:right w:val="single" w:sz="6" w:space="0" w:color="ACA596"/>
            </w:tcBorders>
          </w:tcPr>
          <w:p w:rsidR="00143892" w:rsidRDefault="00000000">
            <w:pPr>
              <w:spacing w:after="0" w:line="259" w:lineRule="auto"/>
              <w:ind w:left="52" w:firstLine="0"/>
            </w:pPr>
            <w:r>
              <w:t xml:space="preserve">Sequence </w:t>
            </w:r>
          </w:p>
        </w:tc>
        <w:tc>
          <w:tcPr>
            <w:tcW w:w="1436" w:type="dxa"/>
            <w:tcBorders>
              <w:top w:val="single" w:sz="6" w:space="0" w:color="ACA596"/>
              <w:left w:val="single" w:sz="6" w:space="0" w:color="ACA596"/>
              <w:bottom w:val="single" w:sz="6" w:space="0" w:color="ACA596"/>
              <w:right w:val="single" w:sz="6" w:space="0" w:color="ACA596"/>
            </w:tcBorders>
          </w:tcPr>
          <w:p w:rsidR="00143892" w:rsidRDefault="00000000">
            <w:pPr>
              <w:spacing w:after="0" w:line="259" w:lineRule="auto"/>
              <w:ind w:left="0" w:right="33" w:firstLine="0"/>
              <w:jc w:val="center"/>
            </w:pPr>
            <w:r>
              <w:t xml:space="preserve">Signal </w:t>
            </w:r>
          </w:p>
        </w:tc>
        <w:tc>
          <w:tcPr>
            <w:tcW w:w="1436" w:type="dxa"/>
            <w:tcBorders>
              <w:top w:val="single" w:sz="6" w:space="0" w:color="ACA596"/>
              <w:left w:val="single" w:sz="6" w:space="0" w:color="ACA596"/>
              <w:bottom w:val="single" w:sz="6" w:space="0" w:color="ACA596"/>
              <w:right w:val="single" w:sz="6" w:space="0" w:color="ACA596"/>
            </w:tcBorders>
          </w:tcPr>
          <w:p w:rsidR="00143892" w:rsidRDefault="00000000">
            <w:pPr>
              <w:spacing w:after="0" w:line="259" w:lineRule="auto"/>
              <w:ind w:left="0" w:firstLine="0"/>
            </w:pPr>
            <w:r>
              <w:t>Summarize</w:t>
            </w:r>
          </w:p>
        </w:tc>
      </w:tr>
    </w:tbl>
    <w:p w:rsidR="00143892" w:rsidRDefault="00000000" w:rsidP="00195A04">
      <w:pPr>
        <w:spacing w:after="20"/>
        <w:ind w:left="355"/>
      </w:pPr>
      <w:r>
        <w:t>[</w:t>
      </w:r>
      <w:r w:rsidR="00195A04">
        <w:t>One essential language function in this learning segment is “demonstrating understating” through verbal explanations and physical execution of movement skills. Students must be able to describe the activity, discuss important steps, and demonstrate proper overhand throwing, striking, and catching techniques. Students can do this by using key vocabulary terms related to the movement such as “L, Step, Follow Through” or “Grip, stance, bat back, level swing, follow through, drop bat, and run”.</w:t>
      </w:r>
      <w:r>
        <w:t xml:space="preserve">] </w:t>
      </w:r>
    </w:p>
    <w:p w:rsidR="00143892" w:rsidRDefault="00000000">
      <w:pPr>
        <w:numPr>
          <w:ilvl w:val="0"/>
          <w:numId w:val="3"/>
        </w:numPr>
        <w:ind w:hanging="360"/>
      </w:pPr>
      <w:r>
        <w:t xml:space="preserve">Identify a key learning task from your plans that provides students with opportunities to practice using the language function identified above. Identify the lesson in which the learning task occurs. (Give lesson day/number.)  </w:t>
      </w:r>
    </w:p>
    <w:p w:rsidR="00143892" w:rsidRDefault="00000000">
      <w:pPr>
        <w:ind w:left="355"/>
      </w:pPr>
      <w:r>
        <w:t>[</w:t>
      </w:r>
      <w:r w:rsidR="00195A04">
        <w:t xml:space="preserve">During Lesson 1, students will demonstrate understanding of the overhand throw. They will do this by using vocabulary and ques to explain the overhand throw. Students will first learn the vocabulary during the teacher’s instruction, and then they will be able to perform the movement while at their stations. Students will also practice saying “L, Step, </w:t>
      </w:r>
      <w:proofErr w:type="gramStart"/>
      <w:r w:rsidR="00195A04">
        <w:t>Follow</w:t>
      </w:r>
      <w:proofErr w:type="gramEnd"/>
      <w:r w:rsidR="00195A04">
        <w:t xml:space="preserve"> through” to reinforce the order of the mechanics.]</w:t>
      </w:r>
      <w:r>
        <w:t xml:space="preserve"> </w:t>
      </w:r>
    </w:p>
    <w:p w:rsidR="00143892" w:rsidRDefault="00000000">
      <w:pPr>
        <w:numPr>
          <w:ilvl w:val="0"/>
          <w:numId w:val="3"/>
        </w:numPr>
        <w:ind w:hanging="360"/>
      </w:pPr>
      <w:r>
        <w:rPr>
          <w:b/>
        </w:rPr>
        <w:lastRenderedPageBreak/>
        <w:t xml:space="preserve">Additional Language Demands. </w:t>
      </w:r>
      <w:r>
        <w:t xml:space="preserve">Given the language function and learning task identified above, describe the following associated language demands (written or oral) students need to understand and/or use to successfully participate in the learning task:  </w:t>
      </w:r>
    </w:p>
    <w:p w:rsidR="00143892" w:rsidRDefault="00000000">
      <w:pPr>
        <w:ind w:left="1090"/>
      </w:pPr>
      <w:r>
        <w:t xml:space="preserve">Vocabulary </w:t>
      </w:r>
    </w:p>
    <w:p w:rsidR="00143892" w:rsidRDefault="00000000">
      <w:pPr>
        <w:ind w:left="1090"/>
      </w:pPr>
      <w:r>
        <w:rPr>
          <w:b/>
        </w:rPr>
        <w:t>Plus</w:t>
      </w:r>
      <w:r>
        <w:t xml:space="preserve"> at least one of the following: </w:t>
      </w:r>
    </w:p>
    <w:p w:rsidR="00143892" w:rsidRDefault="00000000">
      <w:pPr>
        <w:ind w:left="1450"/>
      </w:pPr>
      <w:r>
        <w:t xml:space="preserve">Syntax  </w:t>
      </w:r>
    </w:p>
    <w:p w:rsidR="00143892" w:rsidRDefault="00000000">
      <w:pPr>
        <w:ind w:left="1450"/>
      </w:pPr>
      <w:r>
        <w:t xml:space="preserve">Discourse </w:t>
      </w:r>
    </w:p>
    <w:p w:rsidR="00195A04" w:rsidRDefault="00000000" w:rsidP="00195A04">
      <w:pPr>
        <w:ind w:left="355"/>
      </w:pPr>
      <w:r>
        <w:t>[</w:t>
      </w:r>
      <w:r w:rsidR="00195A04">
        <w:t>Vocabulary: Vocabulary words for Lesson 1 include: “L-Step-Follow through technique, Overhand throw, target, follow-through”. Vocabulary for Lesson 2 include: “grip, stance, swing, follow-through, bat, run, base fielding, offense, defense”. Vocabulary for Lesson 3 include: “striking, kick, dribble, target, accuracy, control, balance, foot-eye coordination.</w:t>
      </w:r>
    </w:p>
    <w:p w:rsidR="00195A04" w:rsidRDefault="00195A04" w:rsidP="00195A04">
      <w:pPr>
        <w:ind w:left="355"/>
      </w:pPr>
      <w:r>
        <w:t>The vocabulary doesn’t build, but there is some carry-over.</w:t>
      </w:r>
    </w:p>
    <w:p w:rsidR="00195A04" w:rsidRDefault="00195A04" w:rsidP="00195A04">
      <w:pPr>
        <w:ind w:left="355"/>
      </w:pPr>
    </w:p>
    <w:p w:rsidR="00195A04" w:rsidRDefault="00195A04" w:rsidP="00195A04">
      <w:pPr>
        <w:ind w:left="355"/>
      </w:pPr>
      <w:r>
        <w:t>Discourse: Students will interpret the visual aids and teacher demonstrations to perform their overhand throw, hit, kick, or catch.”</w:t>
      </w:r>
    </w:p>
    <w:p w:rsidR="00143892" w:rsidRDefault="00195A04" w:rsidP="00195A04">
      <w:pPr>
        <w:ind w:left="355"/>
      </w:pPr>
      <w:r>
        <w:t>Syntax: Students will follow the cues given during instruction to demonstrate the proper form of either overhand throwing, hitting, or kicking.</w:t>
      </w:r>
      <w:r w:rsidR="00000000">
        <w:t xml:space="preserve">] </w:t>
      </w:r>
    </w:p>
    <w:p w:rsidR="00143892" w:rsidRDefault="00000000">
      <w:pPr>
        <w:ind w:left="705" w:hanging="360"/>
      </w:pPr>
      <w:r>
        <w:t>d.</w:t>
      </w:r>
      <w:r>
        <w:rPr>
          <w:b/>
        </w:rPr>
        <w:t xml:space="preserve"> Language Supports. </w:t>
      </w:r>
      <w:r>
        <w:t xml:space="preserve">Refer to your lesson plans and instructional materials as needed in your response to the prompt below. </w:t>
      </w:r>
    </w:p>
    <w:p w:rsidR="00143892" w:rsidRDefault="00000000">
      <w:pPr>
        <w:ind w:left="1090"/>
      </w:pPr>
      <w:r>
        <w:t xml:space="preserve">Identify and describe the planned instructional supports (during and/or prior to the learning task) to help students understand, develop, and use the identified language demands (function, vocabulary, syntax, or discourse). </w:t>
      </w:r>
    </w:p>
    <w:p w:rsidR="00195A04" w:rsidRDefault="00000000">
      <w:pPr>
        <w:ind w:left="355"/>
      </w:pPr>
      <w:r>
        <w:t>[</w:t>
      </w:r>
      <w:r w:rsidR="00195A04">
        <w:t>To support students understanding, I have planned several instructional strategies:</w:t>
      </w:r>
    </w:p>
    <w:p w:rsidR="00195A04" w:rsidRDefault="00195A04">
      <w:pPr>
        <w:ind w:left="355"/>
      </w:pPr>
      <w:r>
        <w:t>Pre-Teaching Vocabulary: Before engaging in skill-based activities, I will introduce key vocabulary terms (ex: overhand throw, L, Step, and follow through) using visual aids, physical demonstrations, and discussions.</w:t>
      </w:r>
    </w:p>
    <w:p w:rsidR="00195A04" w:rsidRDefault="00195A04">
      <w:pPr>
        <w:ind w:left="355"/>
      </w:pPr>
      <w:r>
        <w:t>Modeling and Guided Practice: I will model proper movement techniques while using related vocabulary, ensuring students can both see and hear how terms are applied. Students will then engage in guided practice while the teacher gives feedback.</w:t>
      </w:r>
    </w:p>
    <w:p w:rsidR="00143892" w:rsidRDefault="00195A04">
      <w:pPr>
        <w:ind w:left="355"/>
      </w:pPr>
      <w:r>
        <w:t>Visual Cues and Checklists: Posters and print out charts will display step-by-step movement breakdowns and key terms. Students can reference these throughout the lesson.</w:t>
      </w:r>
      <w:r w:rsidR="00000000">
        <w:t xml:space="preserve">] </w:t>
      </w:r>
    </w:p>
    <w:p w:rsidR="00143892" w:rsidRDefault="00000000">
      <w:pPr>
        <w:pStyle w:val="Heading1"/>
        <w:ind w:left="345" w:hanging="360"/>
      </w:pPr>
      <w:r>
        <w:t xml:space="preserve">Monitoring Student Learning  </w:t>
      </w:r>
    </w:p>
    <w:p w:rsidR="00143892" w:rsidRDefault="00000000">
      <w:pPr>
        <w:spacing w:after="191"/>
        <w:ind w:left="355"/>
      </w:pPr>
      <w:r>
        <w:t>In response to the prompts below, refer to the assessments you will submit as part of the materials for Planning Task 1.</w:t>
      </w:r>
      <w:r>
        <w:rPr>
          <w:b/>
        </w:rPr>
        <w:t xml:space="preserve"> </w:t>
      </w:r>
    </w:p>
    <w:p w:rsidR="00143892" w:rsidRDefault="00000000">
      <w:pPr>
        <w:numPr>
          <w:ilvl w:val="0"/>
          <w:numId w:val="4"/>
        </w:numPr>
        <w:ind w:hanging="360"/>
      </w:pPr>
      <w:r>
        <w:t xml:space="preserve">Describe how the assessments </w:t>
      </w:r>
      <w:r>
        <w:rPr>
          <w:b/>
        </w:rPr>
        <w:t>throughout</w:t>
      </w:r>
      <w:r>
        <w:t xml:space="preserve"> the learning segment will provide direct evidence of students’ development of competencies in the psychomotor domain and at least one other learning domain (cognitive and/or affective). </w:t>
      </w:r>
    </w:p>
    <w:p w:rsidR="00195A04" w:rsidRDefault="00000000" w:rsidP="00195A04">
      <w:pPr>
        <w:ind w:left="355"/>
      </w:pPr>
      <w:r>
        <w:t>[</w:t>
      </w:r>
      <w:r w:rsidR="00195A04">
        <w:t>Throughout the lessons, assessments will measure student progress in both Psychomotor and Cognitive domains.</w:t>
      </w:r>
    </w:p>
    <w:p w:rsidR="00195A04" w:rsidRDefault="00195A04" w:rsidP="00195A04">
      <w:pPr>
        <w:ind w:left="355"/>
      </w:pPr>
      <w:r>
        <w:t>Psychomotor: Students will complete performance-based assessments, such as checklists to demonstrate mastery of throwing, hitting, and kicking. These assessments will track student progress and mastery of the skills.</w:t>
      </w:r>
    </w:p>
    <w:p w:rsidR="00143892" w:rsidRDefault="00195A04" w:rsidP="00195A04">
      <w:pPr>
        <w:ind w:left="355"/>
      </w:pPr>
      <w:r>
        <w:lastRenderedPageBreak/>
        <w:t>Cognitive Domain: Students will complete verbal reflections on proper movement techniques for each skill. They will be able to list the steps of the overhand throw, hitting form, and kicking form.]</w:t>
      </w:r>
      <w:r w:rsidR="00000000">
        <w:t xml:space="preserve"> </w:t>
      </w:r>
    </w:p>
    <w:p w:rsidR="00143892" w:rsidRDefault="00000000">
      <w:pPr>
        <w:numPr>
          <w:ilvl w:val="0"/>
          <w:numId w:val="4"/>
        </w:numPr>
        <w:ind w:hanging="360"/>
      </w:pPr>
      <w:r>
        <w:t xml:space="preserve">Explain how the design or adaptation of your planned assessments allows students with specific needs to demonstrate their learning. </w:t>
      </w:r>
    </w:p>
    <w:p w:rsidR="00195A04" w:rsidRDefault="00000000">
      <w:pPr>
        <w:spacing w:after="211"/>
        <w:ind w:left="705" w:hanging="360"/>
      </w:pPr>
      <w:r>
        <w:t>[</w:t>
      </w:r>
      <w:r w:rsidR="00195A04">
        <w:t>Students with IEPs/ 504 Plans: These students will get extended time, modified expectations (distances &amp; equipment), and can be assessed verbally.</w:t>
      </w:r>
    </w:p>
    <w:p w:rsidR="00143892" w:rsidRDefault="00195A04">
      <w:pPr>
        <w:spacing w:after="211"/>
        <w:ind w:left="705" w:hanging="360"/>
      </w:pPr>
      <w:r>
        <w:t>ELLs: Assessments will include visual supports to reinforce vocabulary. Sentence starters can also be provided to help students articulate their responses.</w:t>
      </w:r>
      <w:r w:rsidR="00000000">
        <w:t xml:space="preserve">]  </w:t>
      </w:r>
    </w:p>
    <w:p w:rsidR="00143892" w:rsidRDefault="00000000">
      <w:pPr>
        <w:pBdr>
          <w:top w:val="single" w:sz="12" w:space="0" w:color="BF6900"/>
        </w:pBdr>
        <w:shd w:val="clear" w:color="auto" w:fill="EDE8DD"/>
        <w:spacing w:after="160" w:line="228" w:lineRule="auto"/>
        <w:ind w:left="730"/>
      </w:pPr>
      <w:r>
        <w:t xml:space="preserve">Consider the variety of learners in your class who may require different strategies/ support (e.g., students with IEPs or 504 plans, English language learners, students with higher/lower proficiency levels, underperforming students or those with gaps in content knowledge, or students needing greater support or challenge). </w:t>
      </w:r>
    </w:p>
    <w:p w:rsidR="00143892" w:rsidRDefault="00000000">
      <w:pPr>
        <w:ind w:left="355"/>
      </w:pPr>
      <w:r>
        <w:t>[</w:t>
      </w:r>
      <w:r w:rsidR="00195A04">
        <w:t>This group of students very high achieving; however, there are a few ELL students who English is their second language. These students do not have any problems participating in activities, but they may need more support when giving instruction. Visuals such as posters and vocabulary terms will be provided to the whole class to make sure I am communicating with all students effectively.</w:t>
      </w:r>
      <w:r>
        <w:t>]</w:t>
      </w:r>
      <w:r>
        <w:rPr>
          <w:rFonts w:ascii="Calibri" w:eastAsia="Calibri" w:hAnsi="Calibri" w:cs="Calibri"/>
        </w:rPr>
        <w:t> </w:t>
      </w:r>
    </w:p>
    <w:p w:rsidR="00143892" w:rsidRDefault="00000000">
      <w:pPr>
        <w:spacing w:after="327" w:line="259" w:lineRule="auto"/>
        <w:ind w:left="365" w:firstLine="0"/>
        <w:jc w:val="center"/>
      </w:pPr>
      <w:r>
        <w:t xml:space="preserve">References </w:t>
      </w:r>
    </w:p>
    <w:p w:rsidR="00195A04" w:rsidRDefault="00195A04">
      <w:pPr>
        <w:ind w:left="730"/>
        <w:rPr>
          <w:bCs/>
        </w:rPr>
      </w:pPr>
      <w:r>
        <w:t xml:space="preserve">Bandura, A., Davidson, H. F., &amp; Davidson, J. (2003). </w:t>
      </w:r>
      <w:r>
        <w:rPr>
          <w:i/>
          <w:iCs/>
        </w:rPr>
        <w:t xml:space="preserve">Bandura’s social cognitive theory: </w:t>
      </w:r>
      <w:r>
        <w:rPr>
          <w:i/>
          <w:iCs/>
        </w:rPr>
        <w:t xml:space="preserve">      </w:t>
      </w:r>
      <w:r>
        <w:rPr>
          <w:i/>
          <w:iCs/>
        </w:rPr>
        <w:t>an introduction</w:t>
      </w:r>
      <w:r>
        <w:t>. Davidson Films, Inc.</w:t>
      </w:r>
    </w:p>
    <w:p w:rsidR="00143892" w:rsidRDefault="00195A04">
      <w:pPr>
        <w:ind w:left="730"/>
      </w:pPr>
      <w:r w:rsidRPr="000307E8">
        <w:rPr>
          <w:bCs/>
        </w:rPr>
        <w:t>Coker, C. A. (2018). Motor Learning &amp; Control for Practitioners.</w:t>
      </w:r>
    </w:p>
    <w:sectPr w:rsidR="00143892">
      <w:headerReference w:type="even" r:id="rId7"/>
      <w:headerReference w:type="default" r:id="rId8"/>
      <w:footerReference w:type="even" r:id="rId9"/>
      <w:footerReference w:type="default" r:id="rId10"/>
      <w:headerReference w:type="first" r:id="rId11"/>
      <w:footerReference w:type="first" r:id="rId12"/>
      <w:pgSz w:w="12240" w:h="15840"/>
      <w:pgMar w:top="1421" w:right="1440" w:bottom="1453" w:left="1440" w:header="360" w:footer="36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46BED" w:rsidRDefault="00646BED">
      <w:pPr>
        <w:spacing w:after="0" w:line="240" w:lineRule="auto"/>
      </w:pPr>
      <w:r>
        <w:separator/>
      </w:r>
    </w:p>
  </w:endnote>
  <w:endnote w:type="continuationSeparator" w:id="0">
    <w:p w:rsidR="00646BED" w:rsidRDefault="00646B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3892" w:rsidRDefault="00000000">
    <w:pPr>
      <w:tabs>
        <w:tab w:val="right" w:pos="9360"/>
      </w:tabs>
      <w:spacing w:after="0" w:line="259" w:lineRule="auto"/>
      <w:ind w:left="0" w:firstLine="0"/>
    </w:pPr>
    <w:r>
      <w:rPr>
        <w:color w:val="808080"/>
        <w:sz w:val="18"/>
      </w:rPr>
      <w:t xml:space="preserve">Copyright © 2018 Board of Trustees of the Leland Stanford Junior University.  </w:t>
    </w:r>
    <w:r>
      <w:rPr>
        <w:color w:val="808080"/>
        <w:sz w:val="18"/>
      </w:rPr>
      <w:tab/>
    </w:r>
    <w:r>
      <w:rPr>
        <w:b/>
        <w:color w:val="991D20"/>
        <w:sz w:val="18"/>
      </w:rPr>
      <w:t>!</w:t>
    </w:r>
    <w:r>
      <w:fldChar w:fldCharType="begin"/>
    </w:r>
    <w:r>
      <w:instrText xml:space="preserve"> PAGE   \* MERGEFORMAT </w:instrText>
    </w:r>
    <w:r>
      <w:fldChar w:fldCharType="separate"/>
    </w:r>
    <w:r>
      <w:rPr>
        <w:b/>
        <w:color w:val="991D20"/>
        <w:sz w:val="18"/>
      </w:rPr>
      <w:t>1</w:t>
    </w:r>
    <w:r>
      <w:rPr>
        <w:b/>
        <w:color w:val="991D20"/>
        <w:sz w:val="18"/>
      </w:rPr>
      <w:fldChar w:fldCharType="end"/>
    </w:r>
    <w:r>
      <w:rPr>
        <w:b/>
        <w:color w:val="991D20"/>
        <w:sz w:val="18"/>
      </w:rPr>
      <w:t xml:space="preserve"> of !</w:t>
    </w:r>
    <w:fldSimple w:instr=" NUMPAGES   \* MERGEFORMAT ">
      <w:r>
        <w:rPr>
          <w:b/>
          <w:color w:val="991D20"/>
          <w:sz w:val="18"/>
        </w:rPr>
        <w:t>8</w:t>
      </w:r>
    </w:fldSimple>
    <w:r>
      <w:rPr>
        <w:b/>
        <w:color w:val="991D20"/>
        <w:sz w:val="18"/>
      </w:rPr>
      <w:t xml:space="preserve"> | 9 pages maximum</w:t>
    </w:r>
    <w:r>
      <w:rPr>
        <w:color w:val="808080"/>
        <w:sz w:val="18"/>
      </w:rPr>
      <w:t xml:space="preserve"> </w:t>
    </w:r>
  </w:p>
  <w:p w:rsidR="00143892" w:rsidRDefault="00000000">
    <w:pPr>
      <w:tabs>
        <w:tab w:val="right" w:pos="9360"/>
      </w:tabs>
      <w:spacing w:after="0" w:line="259" w:lineRule="auto"/>
      <w:ind w:left="0" w:firstLine="0"/>
    </w:pPr>
    <w:r>
      <w:rPr>
        <w:color w:val="808080"/>
        <w:sz w:val="18"/>
      </w:rPr>
      <w:t xml:space="preserve">All rights reserved. </w:t>
    </w:r>
    <w:r>
      <w:rPr>
        <w:color w:val="808080"/>
        <w:sz w:val="18"/>
      </w:rPr>
      <w:tab/>
      <w:t xml:space="preserve">V07 </w:t>
    </w:r>
  </w:p>
  <w:p w:rsidR="00143892" w:rsidRDefault="00000000">
    <w:pPr>
      <w:spacing w:after="0" w:line="232" w:lineRule="auto"/>
      <w:ind w:left="0" w:firstLine="0"/>
    </w:pPr>
    <w:r>
      <w:rPr>
        <w:color w:val="808080"/>
        <w:sz w:val="18"/>
      </w:rPr>
      <w:t>The edTPA trademarks are owned by The Board of Trustees of the Leland Stanford Junior University. Use of the edTPA trademarks is permitted only pursuant to the terms of a written license agreement.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3892" w:rsidRDefault="00000000">
    <w:pPr>
      <w:tabs>
        <w:tab w:val="right" w:pos="9360"/>
      </w:tabs>
      <w:spacing w:after="0" w:line="259" w:lineRule="auto"/>
      <w:ind w:left="0" w:firstLine="0"/>
    </w:pPr>
    <w:r>
      <w:rPr>
        <w:color w:val="808080"/>
        <w:sz w:val="18"/>
      </w:rPr>
      <w:t xml:space="preserve">Copyright © 2018 Board of Trustees of the Leland Stanford Junior University.  </w:t>
    </w:r>
    <w:r>
      <w:rPr>
        <w:color w:val="808080"/>
        <w:sz w:val="18"/>
      </w:rPr>
      <w:tab/>
    </w:r>
    <w:r>
      <w:rPr>
        <w:b/>
        <w:color w:val="991D20"/>
        <w:sz w:val="18"/>
      </w:rPr>
      <w:t>!</w:t>
    </w:r>
    <w:r>
      <w:fldChar w:fldCharType="begin"/>
    </w:r>
    <w:r>
      <w:instrText xml:space="preserve"> PAGE   \* MERGEFORMAT </w:instrText>
    </w:r>
    <w:r>
      <w:fldChar w:fldCharType="separate"/>
    </w:r>
    <w:r>
      <w:rPr>
        <w:b/>
        <w:color w:val="991D20"/>
        <w:sz w:val="18"/>
      </w:rPr>
      <w:t>1</w:t>
    </w:r>
    <w:r>
      <w:rPr>
        <w:b/>
        <w:color w:val="991D20"/>
        <w:sz w:val="18"/>
      </w:rPr>
      <w:fldChar w:fldCharType="end"/>
    </w:r>
    <w:r>
      <w:rPr>
        <w:b/>
        <w:color w:val="991D20"/>
        <w:sz w:val="18"/>
      </w:rPr>
      <w:t xml:space="preserve"> of !</w:t>
    </w:r>
    <w:fldSimple w:instr=" NUMPAGES   \* MERGEFORMAT ">
      <w:r>
        <w:rPr>
          <w:b/>
          <w:color w:val="991D20"/>
          <w:sz w:val="18"/>
        </w:rPr>
        <w:t>8</w:t>
      </w:r>
    </w:fldSimple>
    <w:r>
      <w:rPr>
        <w:b/>
        <w:color w:val="991D20"/>
        <w:sz w:val="18"/>
      </w:rPr>
      <w:t xml:space="preserve"> | 9 pages maximum</w:t>
    </w:r>
    <w:r>
      <w:rPr>
        <w:color w:val="808080"/>
        <w:sz w:val="18"/>
      </w:rPr>
      <w:t xml:space="preserve"> </w:t>
    </w:r>
  </w:p>
  <w:p w:rsidR="00143892" w:rsidRDefault="00000000">
    <w:pPr>
      <w:tabs>
        <w:tab w:val="right" w:pos="9360"/>
      </w:tabs>
      <w:spacing w:after="0" w:line="259" w:lineRule="auto"/>
      <w:ind w:left="0" w:firstLine="0"/>
    </w:pPr>
    <w:r>
      <w:rPr>
        <w:color w:val="808080"/>
        <w:sz w:val="18"/>
      </w:rPr>
      <w:t xml:space="preserve">All rights reserved. </w:t>
    </w:r>
    <w:r>
      <w:rPr>
        <w:color w:val="808080"/>
        <w:sz w:val="18"/>
      </w:rPr>
      <w:tab/>
      <w:t xml:space="preserve">V07 </w:t>
    </w:r>
  </w:p>
  <w:p w:rsidR="00143892" w:rsidRDefault="00000000">
    <w:pPr>
      <w:spacing w:after="0" w:line="232" w:lineRule="auto"/>
      <w:ind w:left="0" w:firstLine="0"/>
    </w:pPr>
    <w:r>
      <w:rPr>
        <w:color w:val="808080"/>
        <w:sz w:val="18"/>
      </w:rPr>
      <w:t>The edTPA trademarks are owned by The Board of Trustees of the Leland Stanford Junior University. Use of the edTPA trademarks is permitted only pursuant to the terms of a written license agreement.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3892" w:rsidRDefault="00000000">
    <w:pPr>
      <w:tabs>
        <w:tab w:val="right" w:pos="9360"/>
      </w:tabs>
      <w:spacing w:after="0" w:line="259" w:lineRule="auto"/>
      <w:ind w:left="0" w:firstLine="0"/>
    </w:pPr>
    <w:r>
      <w:rPr>
        <w:color w:val="808080"/>
        <w:sz w:val="18"/>
      </w:rPr>
      <w:t xml:space="preserve">Copyright © 2018 Board of Trustees of the Leland Stanford Junior University.  </w:t>
    </w:r>
    <w:r>
      <w:rPr>
        <w:color w:val="808080"/>
        <w:sz w:val="18"/>
      </w:rPr>
      <w:tab/>
    </w:r>
    <w:r>
      <w:rPr>
        <w:b/>
        <w:color w:val="991D20"/>
        <w:sz w:val="18"/>
      </w:rPr>
      <w:t>!</w:t>
    </w:r>
    <w:r>
      <w:fldChar w:fldCharType="begin"/>
    </w:r>
    <w:r>
      <w:instrText xml:space="preserve"> PAGE   \* MERGEFORMAT </w:instrText>
    </w:r>
    <w:r>
      <w:fldChar w:fldCharType="separate"/>
    </w:r>
    <w:r>
      <w:rPr>
        <w:b/>
        <w:color w:val="991D20"/>
        <w:sz w:val="18"/>
      </w:rPr>
      <w:t>1</w:t>
    </w:r>
    <w:r>
      <w:rPr>
        <w:b/>
        <w:color w:val="991D20"/>
        <w:sz w:val="18"/>
      </w:rPr>
      <w:fldChar w:fldCharType="end"/>
    </w:r>
    <w:r>
      <w:rPr>
        <w:b/>
        <w:color w:val="991D20"/>
        <w:sz w:val="18"/>
      </w:rPr>
      <w:t xml:space="preserve"> of !</w:t>
    </w:r>
    <w:fldSimple w:instr=" NUMPAGES   \* MERGEFORMAT ">
      <w:r>
        <w:rPr>
          <w:b/>
          <w:color w:val="991D20"/>
          <w:sz w:val="18"/>
        </w:rPr>
        <w:t>8</w:t>
      </w:r>
    </w:fldSimple>
    <w:r>
      <w:rPr>
        <w:b/>
        <w:color w:val="991D20"/>
        <w:sz w:val="18"/>
      </w:rPr>
      <w:t xml:space="preserve"> | 9 pages maximum</w:t>
    </w:r>
    <w:r>
      <w:rPr>
        <w:color w:val="808080"/>
        <w:sz w:val="18"/>
      </w:rPr>
      <w:t xml:space="preserve"> </w:t>
    </w:r>
  </w:p>
  <w:p w:rsidR="00143892" w:rsidRDefault="00000000">
    <w:pPr>
      <w:tabs>
        <w:tab w:val="right" w:pos="9360"/>
      </w:tabs>
      <w:spacing w:after="0" w:line="259" w:lineRule="auto"/>
      <w:ind w:left="0" w:firstLine="0"/>
    </w:pPr>
    <w:r>
      <w:rPr>
        <w:color w:val="808080"/>
        <w:sz w:val="18"/>
      </w:rPr>
      <w:t xml:space="preserve">All rights reserved. </w:t>
    </w:r>
    <w:r>
      <w:rPr>
        <w:color w:val="808080"/>
        <w:sz w:val="18"/>
      </w:rPr>
      <w:tab/>
      <w:t xml:space="preserve">V07 </w:t>
    </w:r>
  </w:p>
  <w:p w:rsidR="00143892" w:rsidRDefault="00000000">
    <w:pPr>
      <w:spacing w:after="0" w:line="232" w:lineRule="auto"/>
      <w:ind w:left="0" w:firstLine="0"/>
    </w:pPr>
    <w:r>
      <w:rPr>
        <w:color w:val="808080"/>
        <w:sz w:val="18"/>
      </w:rPr>
      <w:t>The edTPA trademarks are owned by The Board of Trustees of the Leland Stanford Junior University. Use of the edTPA trademarks is permitted only pursuant to the terms of a written license agreement.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46BED" w:rsidRDefault="00646BED">
      <w:pPr>
        <w:spacing w:after="0" w:line="240" w:lineRule="auto"/>
      </w:pPr>
      <w:r>
        <w:separator/>
      </w:r>
    </w:p>
  </w:footnote>
  <w:footnote w:type="continuationSeparator" w:id="0">
    <w:p w:rsidR="00646BED" w:rsidRDefault="00646B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3892" w:rsidRDefault="00000000">
    <w:pPr>
      <w:tabs>
        <w:tab w:val="right" w:pos="9360"/>
      </w:tabs>
      <w:spacing w:after="0" w:line="259" w:lineRule="auto"/>
      <w:ind w:left="0" w:firstLine="0"/>
    </w:pPr>
    <w:r>
      <w:rPr>
        <w:noProof/>
      </w:rPr>
      <w:drawing>
        <wp:anchor distT="0" distB="0" distL="114300" distR="114300" simplePos="0" relativeHeight="251658240" behindDoc="0" locked="0" layoutInCell="1" allowOverlap="0">
          <wp:simplePos x="0" y="0"/>
          <wp:positionH relativeFrom="page">
            <wp:posOffset>914400</wp:posOffset>
          </wp:positionH>
          <wp:positionV relativeFrom="page">
            <wp:posOffset>228600</wp:posOffset>
          </wp:positionV>
          <wp:extent cx="939800" cy="241300"/>
          <wp:effectExtent l="0" t="0" r="0" b="0"/>
          <wp:wrapSquare wrapText="bothSides"/>
          <wp:docPr id="12" name="Picture 12"/>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939800" cy="241300"/>
                  </a:xfrm>
                  <a:prstGeom prst="rect">
                    <a:avLst/>
                  </a:prstGeom>
                </pic:spPr>
              </pic:pic>
            </a:graphicData>
          </a:graphic>
        </wp:anchor>
      </w:drawing>
    </w:r>
    <w:r>
      <w:rPr>
        <w:i/>
        <w:sz w:val="16"/>
      </w:rPr>
      <w:t>!</w:t>
    </w:r>
    <w:r>
      <w:rPr>
        <w:i/>
        <w:color w:val="808080"/>
        <w:sz w:val="16"/>
      </w:rPr>
      <w:t xml:space="preserve"> </w:t>
    </w:r>
    <w:r>
      <w:rPr>
        <w:i/>
        <w:color w:val="808080"/>
        <w:sz w:val="16"/>
      </w:rPr>
      <w:tab/>
    </w:r>
    <w:r>
      <w:rPr>
        <w:i/>
        <w:color w:val="808080"/>
        <w:sz w:val="20"/>
      </w:rPr>
      <w:t xml:space="preserve">Physical Education </w:t>
    </w:r>
  </w:p>
  <w:p w:rsidR="00143892" w:rsidRDefault="00000000">
    <w:pPr>
      <w:spacing w:after="0" w:line="259" w:lineRule="auto"/>
      <w:ind w:left="0" w:firstLine="0"/>
      <w:jc w:val="right"/>
    </w:pPr>
    <w:r>
      <w:rPr>
        <w:i/>
        <w:color w:val="808080"/>
        <w:sz w:val="20"/>
      </w:rPr>
      <w:t>Task 1: Planning Commentary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3892" w:rsidRDefault="00000000">
    <w:pPr>
      <w:tabs>
        <w:tab w:val="right" w:pos="9360"/>
      </w:tabs>
      <w:spacing w:after="0" w:line="259" w:lineRule="auto"/>
      <w:ind w:left="0" w:firstLine="0"/>
    </w:pPr>
    <w:r>
      <w:rPr>
        <w:noProof/>
      </w:rPr>
      <w:drawing>
        <wp:anchor distT="0" distB="0" distL="114300" distR="114300" simplePos="0" relativeHeight="251659264" behindDoc="0" locked="0" layoutInCell="1" allowOverlap="0">
          <wp:simplePos x="0" y="0"/>
          <wp:positionH relativeFrom="page">
            <wp:posOffset>914400</wp:posOffset>
          </wp:positionH>
          <wp:positionV relativeFrom="page">
            <wp:posOffset>228600</wp:posOffset>
          </wp:positionV>
          <wp:extent cx="939800" cy="241300"/>
          <wp:effectExtent l="0" t="0" r="0" b="0"/>
          <wp:wrapSquare wrapText="bothSides"/>
          <wp:docPr id="935045223" name="Picture 935045223"/>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939800" cy="241300"/>
                  </a:xfrm>
                  <a:prstGeom prst="rect">
                    <a:avLst/>
                  </a:prstGeom>
                </pic:spPr>
              </pic:pic>
            </a:graphicData>
          </a:graphic>
        </wp:anchor>
      </w:drawing>
    </w:r>
    <w:r>
      <w:rPr>
        <w:i/>
        <w:sz w:val="16"/>
      </w:rPr>
      <w:t>!</w:t>
    </w:r>
    <w:r>
      <w:rPr>
        <w:i/>
        <w:color w:val="808080"/>
        <w:sz w:val="16"/>
      </w:rPr>
      <w:t xml:space="preserve"> </w:t>
    </w:r>
    <w:r>
      <w:rPr>
        <w:i/>
        <w:color w:val="808080"/>
        <w:sz w:val="16"/>
      </w:rPr>
      <w:tab/>
    </w:r>
    <w:r>
      <w:rPr>
        <w:i/>
        <w:color w:val="808080"/>
        <w:sz w:val="20"/>
      </w:rPr>
      <w:t xml:space="preserve">Physical Education </w:t>
    </w:r>
  </w:p>
  <w:p w:rsidR="00143892" w:rsidRDefault="00000000">
    <w:pPr>
      <w:spacing w:after="0" w:line="259" w:lineRule="auto"/>
      <w:ind w:left="0" w:firstLine="0"/>
      <w:jc w:val="right"/>
    </w:pPr>
    <w:r>
      <w:rPr>
        <w:i/>
        <w:color w:val="808080"/>
        <w:sz w:val="20"/>
      </w:rPr>
      <w:t>Task 1: Planning Commentary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143892" w:rsidRDefault="00000000">
    <w:pPr>
      <w:tabs>
        <w:tab w:val="right" w:pos="9360"/>
      </w:tabs>
      <w:spacing w:after="0" w:line="259" w:lineRule="auto"/>
      <w:ind w:left="0" w:firstLine="0"/>
    </w:pPr>
    <w:r>
      <w:rPr>
        <w:noProof/>
      </w:rPr>
      <w:drawing>
        <wp:anchor distT="0" distB="0" distL="114300" distR="114300" simplePos="0" relativeHeight="251660288" behindDoc="0" locked="0" layoutInCell="1" allowOverlap="0">
          <wp:simplePos x="0" y="0"/>
          <wp:positionH relativeFrom="page">
            <wp:posOffset>914400</wp:posOffset>
          </wp:positionH>
          <wp:positionV relativeFrom="page">
            <wp:posOffset>228600</wp:posOffset>
          </wp:positionV>
          <wp:extent cx="939800" cy="241300"/>
          <wp:effectExtent l="0" t="0" r="0" b="0"/>
          <wp:wrapSquare wrapText="bothSides"/>
          <wp:docPr id="233497879" name="Picture 233497879"/>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
                  <a:stretch>
                    <a:fillRect/>
                  </a:stretch>
                </pic:blipFill>
                <pic:spPr>
                  <a:xfrm>
                    <a:off x="0" y="0"/>
                    <a:ext cx="939800" cy="241300"/>
                  </a:xfrm>
                  <a:prstGeom prst="rect">
                    <a:avLst/>
                  </a:prstGeom>
                </pic:spPr>
              </pic:pic>
            </a:graphicData>
          </a:graphic>
        </wp:anchor>
      </w:drawing>
    </w:r>
    <w:r>
      <w:rPr>
        <w:i/>
        <w:sz w:val="16"/>
      </w:rPr>
      <w:t>!</w:t>
    </w:r>
    <w:r>
      <w:rPr>
        <w:i/>
        <w:color w:val="808080"/>
        <w:sz w:val="16"/>
      </w:rPr>
      <w:t xml:space="preserve"> </w:t>
    </w:r>
    <w:r>
      <w:rPr>
        <w:i/>
        <w:color w:val="808080"/>
        <w:sz w:val="16"/>
      </w:rPr>
      <w:tab/>
    </w:r>
    <w:r>
      <w:rPr>
        <w:i/>
        <w:color w:val="808080"/>
        <w:sz w:val="20"/>
      </w:rPr>
      <w:t xml:space="preserve">Physical Education </w:t>
    </w:r>
  </w:p>
  <w:p w:rsidR="00143892" w:rsidRDefault="00000000">
    <w:pPr>
      <w:spacing w:after="0" w:line="259" w:lineRule="auto"/>
      <w:ind w:left="0" w:firstLine="0"/>
      <w:jc w:val="right"/>
    </w:pPr>
    <w:r>
      <w:rPr>
        <w:i/>
        <w:color w:val="808080"/>
        <w:sz w:val="20"/>
      </w:rPr>
      <w:t>Task 1: Planning Commentary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B7736"/>
    <w:multiLevelType w:val="hybridMultilevel"/>
    <w:tmpl w:val="360243B8"/>
    <w:lvl w:ilvl="0" w:tplc="7098E71E">
      <w:start w:val="1"/>
      <w:numFmt w:val="lowerLetter"/>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5547354">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F2CF45A">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0FA0A58">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3D6C49C">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F9C24CA">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02419A0">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B903D5E">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B12E4DE">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A084A8A"/>
    <w:multiLevelType w:val="hybridMultilevel"/>
    <w:tmpl w:val="AE42CFC0"/>
    <w:lvl w:ilvl="0" w:tplc="AED818AC">
      <w:start w:val="1"/>
      <w:numFmt w:val="decimal"/>
      <w:pStyle w:val="Heading1"/>
      <w:lvlText w:val="%1."/>
      <w:lvlJc w:val="left"/>
      <w:pPr>
        <w:ind w:left="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1" w:tplc="01462C58">
      <w:start w:val="1"/>
      <w:numFmt w:val="lowerLetter"/>
      <w:lvlText w:val="%2"/>
      <w:lvlJc w:val="left"/>
      <w:pPr>
        <w:ind w:left="10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2" w:tplc="87D21702">
      <w:start w:val="1"/>
      <w:numFmt w:val="lowerRoman"/>
      <w:lvlText w:val="%3"/>
      <w:lvlJc w:val="left"/>
      <w:pPr>
        <w:ind w:left="18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3" w:tplc="EAAA3AC8">
      <w:start w:val="1"/>
      <w:numFmt w:val="decimal"/>
      <w:lvlText w:val="%4"/>
      <w:lvlJc w:val="left"/>
      <w:pPr>
        <w:ind w:left="25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4" w:tplc="6E96E310">
      <w:start w:val="1"/>
      <w:numFmt w:val="lowerLetter"/>
      <w:lvlText w:val="%5"/>
      <w:lvlJc w:val="left"/>
      <w:pPr>
        <w:ind w:left="324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5" w:tplc="648A6DC6">
      <w:start w:val="1"/>
      <w:numFmt w:val="lowerRoman"/>
      <w:lvlText w:val="%6"/>
      <w:lvlJc w:val="left"/>
      <w:pPr>
        <w:ind w:left="396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6" w:tplc="9E4A188A">
      <w:start w:val="1"/>
      <w:numFmt w:val="decimal"/>
      <w:lvlText w:val="%7"/>
      <w:lvlJc w:val="left"/>
      <w:pPr>
        <w:ind w:left="468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7" w:tplc="B23416D0">
      <w:start w:val="1"/>
      <w:numFmt w:val="lowerLetter"/>
      <w:lvlText w:val="%8"/>
      <w:lvlJc w:val="left"/>
      <w:pPr>
        <w:ind w:left="540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lvl w:ilvl="8" w:tplc="9E129B2A">
      <w:start w:val="1"/>
      <w:numFmt w:val="lowerRoman"/>
      <w:lvlText w:val="%9"/>
      <w:lvlJc w:val="left"/>
      <w:pPr>
        <w:ind w:left="6120"/>
      </w:pPr>
      <w:rPr>
        <w:rFonts w:ascii="Arial" w:eastAsia="Arial" w:hAnsi="Arial" w:cs="Arial"/>
        <w:b/>
        <w:bCs/>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C7D0F3B"/>
    <w:multiLevelType w:val="hybridMultilevel"/>
    <w:tmpl w:val="0966E51E"/>
    <w:lvl w:ilvl="0" w:tplc="5E44E790">
      <w:start w:val="1"/>
      <w:numFmt w:val="lowerLetter"/>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684D9EE">
      <w:start w:val="1"/>
      <w:numFmt w:val="lowerLetter"/>
      <w:lvlText w:val="%2"/>
      <w:lvlJc w:val="left"/>
      <w:pPr>
        <w:ind w:left="1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752CD72">
      <w:start w:val="1"/>
      <w:numFmt w:val="lowerRoman"/>
      <w:lvlText w:val="%3"/>
      <w:lvlJc w:val="left"/>
      <w:pPr>
        <w:ind w:left="19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6F2AB1A">
      <w:start w:val="1"/>
      <w:numFmt w:val="decimal"/>
      <w:lvlText w:val="%4"/>
      <w:lvlJc w:val="left"/>
      <w:pPr>
        <w:ind w:left="26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636A8E6">
      <w:start w:val="1"/>
      <w:numFmt w:val="lowerLetter"/>
      <w:lvlText w:val="%5"/>
      <w:lvlJc w:val="left"/>
      <w:pPr>
        <w:ind w:left="3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BD080DC">
      <w:start w:val="1"/>
      <w:numFmt w:val="lowerRoman"/>
      <w:lvlText w:val="%6"/>
      <w:lvlJc w:val="left"/>
      <w:pPr>
        <w:ind w:left="4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3366DD8">
      <w:start w:val="1"/>
      <w:numFmt w:val="decimal"/>
      <w:lvlText w:val="%7"/>
      <w:lvlJc w:val="left"/>
      <w:pPr>
        <w:ind w:left="4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C7A16E8">
      <w:start w:val="1"/>
      <w:numFmt w:val="lowerLetter"/>
      <w:lvlText w:val="%8"/>
      <w:lvlJc w:val="left"/>
      <w:pPr>
        <w:ind w:left="5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A74D522">
      <w:start w:val="1"/>
      <w:numFmt w:val="lowerRoman"/>
      <w:lvlText w:val="%9"/>
      <w:lvlJc w:val="left"/>
      <w:pPr>
        <w:ind w:left="6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33545501"/>
    <w:multiLevelType w:val="hybridMultilevel"/>
    <w:tmpl w:val="97484F42"/>
    <w:lvl w:ilvl="0" w:tplc="F16C3C80">
      <w:start w:val="1"/>
      <w:numFmt w:val="lowerLetter"/>
      <w:lvlText w:val="%1."/>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C7E4CB8">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1C02C30">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C90EA7A">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094202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6EE250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252C0B6">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E6A344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40CB14A">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6AB62871"/>
    <w:multiLevelType w:val="hybridMultilevel"/>
    <w:tmpl w:val="7F708C00"/>
    <w:lvl w:ilvl="0" w:tplc="4F7E009E">
      <w:start w:val="1"/>
      <w:numFmt w:val="lowerLetter"/>
      <w:lvlText w:val="%1."/>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6003BC2">
      <w:start w:val="1"/>
      <w:numFmt w:val="lowerLetter"/>
      <w:lvlText w:val="%2"/>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8FA4988">
      <w:start w:val="1"/>
      <w:numFmt w:val="lowerRoman"/>
      <w:lvlText w:val="%3"/>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548720C">
      <w:start w:val="1"/>
      <w:numFmt w:val="decimal"/>
      <w:lvlText w:val="%4"/>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3761742">
      <w:start w:val="1"/>
      <w:numFmt w:val="lowerLetter"/>
      <w:lvlText w:val="%5"/>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1E0B482">
      <w:start w:val="1"/>
      <w:numFmt w:val="lowerRoman"/>
      <w:lvlText w:val="%6"/>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1029DCE">
      <w:start w:val="1"/>
      <w:numFmt w:val="decimal"/>
      <w:lvlText w:val="%7"/>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D3E6F70">
      <w:start w:val="1"/>
      <w:numFmt w:val="lowerLetter"/>
      <w:lvlText w:val="%8"/>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D069590">
      <w:start w:val="1"/>
      <w:numFmt w:val="lowerRoman"/>
      <w:lvlText w:val="%9"/>
      <w:lvlJc w:val="left"/>
      <w:pPr>
        <w:ind w:left="6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809544668">
    <w:abstractNumId w:val="3"/>
  </w:num>
  <w:num w:numId="2" w16cid:durableId="2083482550">
    <w:abstractNumId w:val="4"/>
  </w:num>
  <w:num w:numId="3" w16cid:durableId="545992309">
    <w:abstractNumId w:val="2"/>
  </w:num>
  <w:num w:numId="4" w16cid:durableId="1923638169">
    <w:abstractNumId w:val="0"/>
  </w:num>
  <w:num w:numId="5" w16cid:durableId="71500823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oNotDisplayPageBoundaries/>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3892"/>
    <w:rsid w:val="00143892"/>
    <w:rsid w:val="00195A04"/>
    <w:rsid w:val="003A2B1B"/>
    <w:rsid w:val="0045387E"/>
    <w:rsid w:val="0063256F"/>
    <w:rsid w:val="00646B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6C1052B"/>
  <w15:docId w15:val="{153E859B-2E7C-6D4D-A6F3-47AB21F51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09" w:line="238" w:lineRule="auto"/>
      <w:ind w:left="370" w:hanging="10"/>
    </w:pPr>
    <w:rPr>
      <w:rFonts w:ascii="Arial" w:eastAsia="Arial" w:hAnsi="Arial" w:cs="Arial"/>
      <w:color w:val="000000"/>
      <w:sz w:val="22"/>
    </w:rPr>
  </w:style>
  <w:style w:type="paragraph" w:styleId="Heading1">
    <w:name w:val="heading 1"/>
    <w:next w:val="Normal"/>
    <w:link w:val="Heading1Char"/>
    <w:uiPriority w:val="9"/>
    <w:qFormat/>
    <w:pPr>
      <w:keepNext/>
      <w:keepLines/>
      <w:numPr>
        <w:numId w:val="5"/>
      </w:numPr>
      <w:spacing w:after="89" w:line="259" w:lineRule="auto"/>
      <w:ind w:left="10" w:hanging="10"/>
      <w:outlineLvl w:val="0"/>
    </w:pPr>
    <w:rPr>
      <w:rFonts w:ascii="Arial" w:eastAsia="Arial" w:hAnsi="Arial" w:cs="Arial"/>
      <w:b/>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2"/>
    </w:rPr>
  </w:style>
  <w:style w:type="table" w:customStyle="1" w:styleId="TableGrid">
    <w:name w:val="TableGrid"/>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3406</Words>
  <Characters>19248</Characters>
  <Application>Microsoft Office Word</Application>
  <DocSecurity>0</DocSecurity>
  <Lines>534</Lines>
  <Paragraphs>404</Paragraphs>
  <ScaleCrop>false</ScaleCrop>
  <Company/>
  <LinksUpToDate>false</LinksUpToDate>
  <CharactersWithSpaces>22250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edTPA_PED_Planning_Commentary (1)</dc:title>
  <dc:subject/>
  <dc:creator>JORDAN GENTRY</dc:creator>
  <cp:keywords/>
  <cp:lastModifiedBy>JORDAN GENTRY</cp:lastModifiedBy>
  <cp:revision>2</cp:revision>
  <dcterms:created xsi:type="dcterms:W3CDTF">2025-02-22T18:43:00Z</dcterms:created>
  <dcterms:modified xsi:type="dcterms:W3CDTF">2025-02-22T18:43:00Z</dcterms:modified>
</cp:coreProperties>
</file>