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88789" w14:textId="4310B343" w:rsidR="00573670" w:rsidRDefault="00DF7E48" w:rsidP="00365FDC">
      <w:pPr>
        <w:pStyle w:val="Title"/>
      </w:pPr>
      <w:sdt>
        <w:sdtPr>
          <w:alias w:val="Title:"/>
          <w:tag w:val="Title:"/>
          <w:id w:val="726351117"/>
          <w:placeholder>
            <w:docPart w:val="06026FFDF81E47E28B149C4C1D793926"/>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270D3B">
            <w:t>Cultural Immersion Research and Events: LGBTQ+</w:t>
          </w:r>
        </w:sdtContent>
      </w:sdt>
      <w:r w:rsidR="00365FDC" w:rsidRPr="00365FDC">
        <w:t xml:space="preserve"> </w:t>
      </w:r>
    </w:p>
    <w:p w14:paraId="153EB3C7" w14:textId="77777777" w:rsidR="00573670" w:rsidRDefault="00573670" w:rsidP="00365FDC">
      <w:pPr>
        <w:pStyle w:val="Title"/>
      </w:pPr>
    </w:p>
    <w:p w14:paraId="1B461C3C" w14:textId="18823F7D" w:rsidR="00573670" w:rsidRDefault="00DF7E48" w:rsidP="00860A80">
      <w:pPr>
        <w:pStyle w:val="Title2"/>
      </w:pPr>
      <w:sdt>
        <w:sdtPr>
          <w:alias w:val="Name"/>
          <w:tag w:val="Name"/>
          <w:id w:val="1249696526"/>
          <w:placeholder>
            <w:docPart w:val="9068D7141D6C4F4F98FEF569C17AE3BF"/>
          </w:placeholder>
          <w15:appearance w15:val="hidden"/>
        </w:sdtPr>
        <w:sdtEndPr/>
        <w:sdtContent>
          <w:r w:rsidR="0032101A">
            <w:t>Katina Glasco</w:t>
          </w:r>
        </w:sdtContent>
      </w:sdt>
    </w:p>
    <w:p w14:paraId="0DB72F03" w14:textId="4C1DBF90" w:rsidR="00B823AA" w:rsidRDefault="00DF7E48" w:rsidP="00B823AA">
      <w:pPr>
        <w:pStyle w:val="Title2"/>
      </w:pPr>
      <w:sdt>
        <w:sdtPr>
          <w:alias w:val="Institution"/>
          <w:tag w:val="Institution"/>
          <w:id w:val="-1314865898"/>
          <w:placeholder>
            <w:docPart w:val="FCE9B79E5DEE4A6CAD33386BB3FAA26C"/>
          </w:placeholder>
          <w15:appearance w15:val="hidden"/>
        </w:sdtPr>
        <w:sdtEndPr/>
        <w:sdtContent>
          <w:r w:rsidR="0032101A">
            <w:t>Liberty University</w:t>
          </w:r>
        </w:sdtContent>
      </w:sdt>
    </w:p>
    <w:p w14:paraId="3779CE1E" w14:textId="31D549AA" w:rsidR="00860A80" w:rsidRDefault="00DF7E48" w:rsidP="00B823AA">
      <w:pPr>
        <w:pStyle w:val="Title2"/>
      </w:pPr>
      <w:sdt>
        <w:sdtPr>
          <w:alias w:val="Course"/>
          <w:tag w:val="Course"/>
          <w:id w:val="-806396560"/>
          <w:placeholder>
            <w:docPart w:val="FE6E0EA525104AC2AE54892E07EF5713"/>
          </w:placeholder>
          <w15:appearance w15:val="hidden"/>
        </w:sdtPr>
        <w:sdtEndPr/>
        <w:sdtContent>
          <w:r w:rsidR="0032101A">
            <w:t>COUC 504: Multicultural Counseling</w:t>
          </w:r>
        </w:sdtContent>
      </w:sdt>
    </w:p>
    <w:p w14:paraId="2F678042" w14:textId="482FCBA7" w:rsidR="00860A80" w:rsidRDefault="00DF7E48" w:rsidP="00860A80">
      <w:pPr>
        <w:pStyle w:val="Title2"/>
      </w:pPr>
      <w:sdt>
        <w:sdtPr>
          <w:alias w:val="Instructor Name"/>
          <w:tag w:val="Instructor Name"/>
          <w:id w:val="885538548"/>
          <w:placeholder>
            <w:docPart w:val="5CA3F240C1B640C1BFACC528DA165F02"/>
          </w:placeholder>
          <w15:appearance w15:val="hidden"/>
        </w:sdtPr>
        <w:sdtEndPr/>
        <w:sdtContent>
          <w:r w:rsidR="0032101A">
            <w:t>Dr. Camille Harris</w:t>
          </w:r>
        </w:sdtContent>
      </w:sdt>
    </w:p>
    <w:p w14:paraId="30962E22" w14:textId="216B56FA" w:rsidR="00860A80" w:rsidRPr="00787884" w:rsidRDefault="00DF7E48" w:rsidP="00860A80">
      <w:pPr>
        <w:pStyle w:val="Title2"/>
      </w:pPr>
      <w:sdt>
        <w:sdtPr>
          <w:alias w:val="Date Submitted"/>
          <w:tag w:val="Date Submitted"/>
          <w:id w:val="1727802042"/>
          <w:placeholder>
            <w:docPart w:val="3022DCD6740E47FFB78BFD0D11075B67"/>
          </w:placeholder>
          <w15:appearance w15:val="hidden"/>
        </w:sdtPr>
        <w:sdtEndPr/>
        <w:sdtContent>
          <w:r w:rsidR="0032101A">
            <w:t xml:space="preserve">Aug </w:t>
          </w:r>
          <w:r>
            <w:t>5</w:t>
          </w:r>
          <w:r w:rsidR="0032101A" w:rsidRPr="0032101A">
            <w:rPr>
              <w:vertAlign w:val="superscript"/>
            </w:rPr>
            <w:t>th</w:t>
          </w:r>
          <w:r w:rsidR="0032101A">
            <w:t>, 2023</w:t>
          </w:r>
        </w:sdtContent>
      </w:sdt>
    </w:p>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2A2906D9"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7696931" w:rsidR="006B75D7" w:rsidRDefault="006B75D7" w:rsidP="00B823AA">
      <w:pPr>
        <w:pStyle w:val="Title2"/>
      </w:pPr>
    </w:p>
    <w:p w14:paraId="41F530BA" w14:textId="77777777" w:rsidR="006B75D7" w:rsidRDefault="006B75D7" w:rsidP="00B823AA">
      <w:pPr>
        <w:pStyle w:val="Title2"/>
      </w:pPr>
    </w:p>
    <w:p w14:paraId="7BB4EDE9" w14:textId="1F850221" w:rsidR="00E81978" w:rsidRDefault="00DF7E48" w:rsidP="0093011D">
      <w:pPr>
        <w:pStyle w:val="SectionTitle"/>
      </w:pPr>
      <w:sdt>
        <w:sdt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32101A">
            <w:t>Cultural Immers</w:t>
          </w:r>
          <w:r w:rsidR="00270D3B">
            <w:t>ion Research and Events: LGBTQ+</w:t>
          </w:r>
        </w:sdtContent>
      </w:sdt>
    </w:p>
    <w:p w14:paraId="1F023176" w14:textId="4B60BAEB" w:rsidR="00E81978" w:rsidRDefault="0032101A">
      <w:pPr>
        <w:pStyle w:val="Heading1"/>
      </w:pPr>
      <w:r>
        <w:t>Research</w:t>
      </w:r>
      <w:r w:rsidR="007C2C95">
        <w:t>: Four Key Elements</w:t>
      </w:r>
    </w:p>
    <w:p w14:paraId="32303E68" w14:textId="23300C49" w:rsidR="00E81978" w:rsidRDefault="00F62441">
      <w:r>
        <w:t>This essay e</w:t>
      </w:r>
      <w:r w:rsidRPr="00F62441">
        <w:t>xplore</w:t>
      </w:r>
      <w:r>
        <w:t>s</w:t>
      </w:r>
      <w:r w:rsidRPr="00F62441">
        <w:t xml:space="preserve"> the multifaceted dynamics of the LGBTQ+ community, </w:t>
      </w:r>
      <w:r w:rsidR="000251A3">
        <w:t>exploring</w:t>
      </w:r>
      <w:r w:rsidRPr="00F62441">
        <w:t xml:space="preserve"> inter-group and intra-group characteristics, prevalent attitudes, beliefs, values, distinctive customs and practices, and the significant historical events and figures that have shaped its cultural and societal perceptions.</w:t>
      </w:r>
    </w:p>
    <w:p w14:paraId="7FD6DAA4" w14:textId="151F734B" w:rsidR="00E81978" w:rsidRDefault="000C2C81" w:rsidP="00C31D30">
      <w:pPr>
        <w:pStyle w:val="Heading2"/>
      </w:pPr>
      <w:r>
        <w:t>Inter and Intra-Group Characteristics</w:t>
      </w:r>
    </w:p>
    <w:p w14:paraId="7296CA4D" w14:textId="31A36127" w:rsidR="007C2C95" w:rsidRPr="00E271AB" w:rsidRDefault="007C2C95" w:rsidP="007C2C95">
      <w:r w:rsidRPr="007C2C95">
        <w:rPr>
          <w:b/>
          <w:i/>
        </w:rPr>
        <w:t>Inter-Group Characteristics</w:t>
      </w:r>
      <w:r w:rsidR="00E271AB">
        <w:rPr>
          <w:b/>
          <w:i/>
        </w:rPr>
        <w:t xml:space="preserve">. </w:t>
      </w:r>
      <w:r w:rsidR="00E271AB">
        <w:t>Inter-group characteristics common to LGBTQ+ members include minority stress, coming out, and legal and political challenges.</w:t>
      </w:r>
      <w:r w:rsidR="00E271AB">
        <w:rPr>
          <w:b/>
          <w:i/>
        </w:rPr>
        <w:t xml:space="preserve"> </w:t>
      </w:r>
      <w:r w:rsidR="00E271AB" w:rsidRPr="00E271AB">
        <w:t>LGBTQ+ individuals experience minority stress from various sources, including outward events like slurs and anti-same-sex marriage laws, the anticipation of discrimination, and internalizing negative societal attitudes (Hays &amp; Erford, 2023). The process of coming out can be challenging, as it involves revealing one's sexual orientation or gender identity, potentially affecting relationships and personal development (The Trevor Project, 2023). Furthermore, LGBTQ+ youth face additional stress from anti-LGBTQ legislation and sociopolitical rhetoric, leading to limited access to healthcare services, bans on transgender youth in sports, and housing discrimination (Ramos et al., 2023).</w:t>
      </w:r>
    </w:p>
    <w:p w14:paraId="11F0928E" w14:textId="118416F7" w:rsidR="00270D3B" w:rsidRPr="00270D3B" w:rsidRDefault="00270D3B" w:rsidP="00270D3B">
      <w:pPr>
        <w:pStyle w:val="NoSpacing"/>
        <w:rPr>
          <w:b/>
          <w:i/>
          <w:vanish/>
        </w:rPr>
      </w:pPr>
      <w:r>
        <w:rPr>
          <w:b/>
          <w:i/>
        </w:rPr>
        <w:t xml:space="preserve">           </w:t>
      </w:r>
      <w:r w:rsidR="00E9033E" w:rsidRPr="00DC7379">
        <w:rPr>
          <w:b/>
          <w:i/>
        </w:rPr>
        <w:t>Intra-Group Characteristics</w:t>
      </w:r>
      <w:r>
        <w:rPr>
          <w:b/>
          <w:i/>
        </w:rPr>
        <w:t xml:space="preserve">. </w:t>
      </w:r>
      <w:r>
        <w:t xml:space="preserve">Intra-group characteristics common to LGBTQ+ members include intersectionality, social support, and legal and political challenges. </w:t>
      </w:r>
      <w:r w:rsidRPr="00270D3B">
        <w:t>Intersectionality pla</w:t>
      </w:r>
      <w:r>
        <w:t xml:space="preserve">ys a significant role as LGBTQ+ individuals also </w:t>
      </w:r>
      <w:r w:rsidRPr="00270D3B">
        <w:t xml:space="preserve">belong to other marginalized groups, leading to added stress and potential health disparities, particularly for LGBTQ+ people of color </w:t>
      </w:r>
      <w:r>
        <w:t>(</w:t>
      </w:r>
      <w:r w:rsidR="00DA0FDF">
        <w:t>McConnel et al</w:t>
      </w:r>
      <w:r w:rsidRPr="00270D3B">
        <w:t xml:space="preserve">, 2018). Social support is crucial within the LGBTQ+ community, forming strong bonds and </w:t>
      </w:r>
      <w:r>
        <w:t>choosing</w:t>
      </w:r>
      <w:r w:rsidRPr="00270D3B">
        <w:t xml:space="preserve"> families to widen their support system (Hays &amp; Erford, 2023). </w:t>
      </w:r>
      <w:r w:rsidRPr="00270D3B">
        <w:lastRenderedPageBreak/>
        <w:t>Additionally, LGBT older adults face unique economic and health challenges, possibly experiencing poverty, physical and mental health issues, neglect, and mistreatment due to lifetime minority stress (</w:t>
      </w:r>
      <w:r w:rsidR="006833DA">
        <w:t>McConnel et al, 2018</w:t>
      </w:r>
      <w:r w:rsidRPr="00270D3B">
        <w:t>).</w:t>
      </w:r>
      <w:r w:rsidRPr="00270D3B">
        <w:rPr>
          <w:b/>
          <w:i/>
          <w:vanish/>
        </w:rPr>
        <w:t>Top of Form</w:t>
      </w:r>
    </w:p>
    <w:p w14:paraId="58EE3E7A" w14:textId="483821C2" w:rsidR="00E9033E" w:rsidRPr="00270D3B" w:rsidRDefault="00E9033E" w:rsidP="00DC7379">
      <w:pPr>
        <w:pStyle w:val="NoSpacing"/>
        <w:ind w:left="720"/>
      </w:pPr>
    </w:p>
    <w:p w14:paraId="328DE13A" w14:textId="78596B1A" w:rsidR="00355DCA" w:rsidRPr="0032101A" w:rsidRDefault="0024796A" w:rsidP="006B75D7">
      <w:pPr>
        <w:pStyle w:val="Heading3"/>
        <w:rPr>
          <w:i w:val="0"/>
        </w:rPr>
      </w:pPr>
      <w:r>
        <w:rPr>
          <w:i w:val="0"/>
        </w:rPr>
        <w:t>A</w:t>
      </w:r>
      <w:r w:rsidR="0032101A">
        <w:rPr>
          <w:i w:val="0"/>
        </w:rPr>
        <w:t>ttitudes, Values</w:t>
      </w:r>
      <w:r w:rsidR="001F4099">
        <w:rPr>
          <w:i w:val="0"/>
        </w:rPr>
        <w:t>, and Beliefs</w:t>
      </w:r>
    </w:p>
    <w:p w14:paraId="647C96E9" w14:textId="6A916529" w:rsidR="007C50AB" w:rsidRDefault="00677395" w:rsidP="007C50AB">
      <w:pPr>
        <w:pStyle w:val="NoSpacing"/>
        <w:ind w:firstLine="720"/>
      </w:pPr>
      <w:r>
        <w:rPr>
          <w:b/>
          <w:i/>
        </w:rPr>
        <w:t xml:space="preserve">Attitudes. </w:t>
      </w:r>
      <w:r w:rsidRPr="00677395">
        <w:t>Limited research has been conducted on intragroup attitudes within the LGBTQ+ community, possibly because LGBTQ+ members are often perceived as a closely-knit group unified by their sexual and gender identities (Weiss, 2003). However, existing studies indicate the presence of heterosexism within gay and lesbian communities, directed towards bisexuals and transgender individuals (Weiss, 2003).</w:t>
      </w:r>
      <w:r w:rsidR="001F4099">
        <w:t xml:space="preserve"> </w:t>
      </w:r>
      <w:r w:rsidR="001F4099" w:rsidRPr="001F4099">
        <w:t>When it comes to societal acceptance, bisexual women experience more perceived acceptance, with</w:t>
      </w:r>
      <w:r w:rsidR="00055E32">
        <w:t xml:space="preserve"> 33% feeling more accepted, however,</w:t>
      </w:r>
      <w:r w:rsidR="001F4099" w:rsidRPr="001F4099">
        <w:t xml:space="preserve"> bisexual men</w:t>
      </w:r>
      <w:r w:rsidR="00055E32">
        <w:t xml:space="preserve"> only report 8% feeling accepted (Pew Research Center, 2020)</w:t>
      </w:r>
      <w:r w:rsidR="001F4099" w:rsidRPr="001F4099">
        <w:t>. Additionally, transgender adults are viewed as less accepted by society compared to other LGBT groups</w:t>
      </w:r>
      <w:r w:rsidR="00055E32">
        <w:t xml:space="preserve"> (Pew Research Center, 2020)</w:t>
      </w:r>
      <w:r w:rsidR="001F4099" w:rsidRPr="001F4099">
        <w:t>.</w:t>
      </w:r>
    </w:p>
    <w:p w14:paraId="1C7DDC53" w14:textId="59AE90F2" w:rsidR="00677395" w:rsidRDefault="00677395" w:rsidP="007C50AB">
      <w:pPr>
        <w:pStyle w:val="NoSpacing"/>
        <w:ind w:firstLine="720"/>
      </w:pPr>
      <w:r>
        <w:rPr>
          <w:b/>
          <w:i/>
        </w:rPr>
        <w:t>Values</w:t>
      </w:r>
      <w:r w:rsidRPr="00677395">
        <w:t xml:space="preserve">. </w:t>
      </w:r>
      <w:r>
        <w:t>On the other hand, p</w:t>
      </w:r>
      <w:r w:rsidRPr="00677395">
        <w:t>ride holds a central place in the cultural fabric of the LGBTQI community, symbolizing unity, identity, and defiance against discrimination and violence</w:t>
      </w:r>
      <w:r>
        <w:t xml:space="preserve"> (PRIDE values, n.d.)</w:t>
      </w:r>
      <w:r w:rsidRPr="00677395">
        <w:t>. It represents a collective bond that welcomes LGBTQI individuals as valued and cherished members of the community, with its symbolism, like the vibrant rainbow colors, serving as a powerful communication of acceptance and inclusion</w:t>
      </w:r>
      <w:r>
        <w:t xml:space="preserve"> (PRIDE values, n.d.)</w:t>
      </w:r>
      <w:r w:rsidRPr="00677395">
        <w:t>.</w:t>
      </w:r>
    </w:p>
    <w:p w14:paraId="2B3CEE65" w14:textId="31CAE6A5" w:rsidR="00677395" w:rsidRPr="001F4099" w:rsidRDefault="00677395" w:rsidP="001F4099">
      <w:pPr>
        <w:pStyle w:val="NoSpacing"/>
        <w:ind w:firstLine="720"/>
        <w:rPr>
          <w:b/>
          <w:i/>
        </w:rPr>
      </w:pPr>
      <w:r>
        <w:rPr>
          <w:b/>
          <w:i/>
        </w:rPr>
        <w:t xml:space="preserve">Beliefs. </w:t>
      </w:r>
      <w:r w:rsidR="001F4099" w:rsidRPr="001F4099">
        <w:t>A significant majority of lesbian, gay, bisexual, and transgender adults in America (92%) believe that society has become more accepting of them over the past decade</w:t>
      </w:r>
      <w:r w:rsidR="00055E32">
        <w:t xml:space="preserve"> (Pew Research Center, 2020)</w:t>
      </w:r>
      <w:r w:rsidR="001F4099" w:rsidRPr="001F4099">
        <w:t>.</w:t>
      </w:r>
      <w:r w:rsidR="001F4099">
        <w:t xml:space="preserve"> </w:t>
      </w:r>
      <w:r w:rsidR="001F4099" w:rsidRPr="001F4099">
        <w:t xml:space="preserve">While many LGBT adults acknowledge that there has been progress in social acceptance, only a small percentage (19%) believe that there is currently a lot </w:t>
      </w:r>
      <w:r w:rsidR="001F4099" w:rsidRPr="001F4099">
        <w:lastRenderedPageBreak/>
        <w:t>of acce</w:t>
      </w:r>
      <w:r w:rsidR="00055E32">
        <w:t>ptance for the LGBT population whereas t</w:t>
      </w:r>
      <w:r w:rsidR="001F4099" w:rsidRPr="001F4099">
        <w:t xml:space="preserve">he majority (59%) </w:t>
      </w:r>
      <w:r w:rsidR="001F4099">
        <w:t>feel</w:t>
      </w:r>
      <w:r w:rsidR="001F4099" w:rsidRPr="001F4099">
        <w:t xml:space="preserve"> that there is</w:t>
      </w:r>
      <w:r w:rsidR="00055E32">
        <w:t xml:space="preserve"> some level of acceptance, and</w:t>
      </w:r>
      <w:r w:rsidR="001F4099" w:rsidRPr="001F4099">
        <w:t xml:space="preserve"> 21% believe that there is little or no acceptance in society today</w:t>
      </w:r>
      <w:r w:rsidR="00055E32">
        <w:t xml:space="preserve"> (Pew Research Center, 2020)</w:t>
      </w:r>
      <w:r w:rsidR="001F4099" w:rsidRPr="001F4099">
        <w:t>.</w:t>
      </w:r>
    </w:p>
    <w:p w14:paraId="2BA425AB" w14:textId="67568FE9" w:rsidR="0032101A" w:rsidRDefault="0032101A" w:rsidP="0032101A">
      <w:pPr>
        <w:ind w:firstLine="0"/>
        <w:rPr>
          <w:b/>
          <w:bCs/>
        </w:rPr>
      </w:pPr>
      <w:r>
        <w:rPr>
          <w:b/>
          <w:bCs/>
        </w:rPr>
        <w:t>Customs, Practices, and Behaviors</w:t>
      </w:r>
    </w:p>
    <w:p w14:paraId="0C476754" w14:textId="0E08618C" w:rsidR="009E0752" w:rsidRDefault="00E82FA2" w:rsidP="0032101A">
      <w:r w:rsidRPr="00E82FA2">
        <w:rPr>
          <w:b/>
          <w:i/>
        </w:rPr>
        <w:t>Customs.</w:t>
      </w:r>
      <w:r w:rsidR="009E0752">
        <w:t xml:space="preserve"> </w:t>
      </w:r>
      <w:r w:rsidR="00E62982">
        <w:t>P</w:t>
      </w:r>
      <w:r w:rsidR="004F099B">
        <w:t xml:space="preserve">rominent customs within the LGBTQ+ community </w:t>
      </w:r>
      <w:r w:rsidR="00E62982">
        <w:t>include</w:t>
      </w:r>
      <w:r w:rsidR="004F099B">
        <w:t xml:space="preserve"> drag queens</w:t>
      </w:r>
      <w:r w:rsidR="00E62982">
        <w:t xml:space="preserve"> and </w:t>
      </w:r>
      <w:r w:rsidR="004F099B">
        <w:t>pride fes</w:t>
      </w:r>
      <w:r w:rsidR="00E519B6">
        <w:t>tivals</w:t>
      </w:r>
      <w:r w:rsidR="00E62982">
        <w:t>.</w:t>
      </w:r>
      <w:r w:rsidRPr="00E82FA2">
        <w:t xml:space="preserve"> </w:t>
      </w:r>
      <w:r w:rsidR="00E62982" w:rsidRPr="00E62982">
        <w:t>Drag is a</w:t>
      </w:r>
      <w:r w:rsidR="000251A3">
        <w:t>n</w:t>
      </w:r>
      <w:r w:rsidR="00E62982" w:rsidRPr="00E62982">
        <w:t xml:space="preserve"> art form that exaggerates gender theatrically, providing a platform for LGBTQ+ performers and enthusiasts for over a century, affirming and uplifting their iden</w:t>
      </w:r>
      <w:r w:rsidR="00E62982">
        <w:t xml:space="preserve">tities (Andrew, 2023). Pride Fest </w:t>
      </w:r>
      <w:r w:rsidR="00E519B6">
        <w:t>is a national celebration and nationwide support (Metcalf, n.d.), including parades, music, and advocacy efforts to raise awareness of discrimination and oppression.</w:t>
      </w:r>
    </w:p>
    <w:p w14:paraId="63FC387E" w14:textId="48D9D83F" w:rsidR="00E62982" w:rsidRDefault="00E62982" w:rsidP="0032101A">
      <w:r>
        <w:rPr>
          <w:b/>
          <w:i/>
        </w:rPr>
        <w:t xml:space="preserve">Practices. </w:t>
      </w:r>
      <w:r>
        <w:t xml:space="preserve">Practices common </w:t>
      </w:r>
      <w:r w:rsidR="00E519B6">
        <w:t>to</w:t>
      </w:r>
      <w:r>
        <w:t xml:space="preserve"> LGBTQ+ members are pronoun sharing and creating safe spaces.</w:t>
      </w:r>
      <w:r w:rsidR="00404BFC">
        <w:t xml:space="preserve"> </w:t>
      </w:r>
      <w:r w:rsidR="00404BFC" w:rsidRPr="00404BFC">
        <w:t>LGBTQ+ members advocate for safe spaces that embrace pronoun sharing, as it affirms gender identities and fosters a sense of inclusion and safety (National Education Association, 2022). This practice contributes to building positive relationships between the LGBTQ+ community and the non-LGBTQ+ community (CDC, 2022).</w:t>
      </w:r>
    </w:p>
    <w:p w14:paraId="50D97D0D" w14:textId="77777777" w:rsidR="002800BF" w:rsidRDefault="00404BFC" w:rsidP="002800BF">
      <w:pPr>
        <w:rPr>
          <w:rFonts w:ascii="Times New Roman" w:hAnsi="Times New Roman" w:cs="Times New Roman"/>
          <w:bCs/>
          <w:color w:val="0D0D0D" w:themeColor="text2" w:themeTint="F2"/>
        </w:rPr>
      </w:pPr>
      <w:r w:rsidRPr="00404BFC">
        <w:rPr>
          <w:b/>
          <w:i/>
        </w:rPr>
        <w:t>Behaviors.</w:t>
      </w:r>
      <w:r>
        <w:rPr>
          <w:b/>
          <w:i/>
        </w:rPr>
        <w:t xml:space="preserve"> </w:t>
      </w:r>
      <w:r w:rsidR="00E271AB" w:rsidRPr="00E271AB">
        <w:t>LGBTQ+ members take pride in their identities, often displaying symbols like rainbow flags or clothing to assert visibility and celebrate their community. This aligns with the common behavior of "coming out," where individuals disclose their sexual orientation or gender identity. However, encouraging youth to come out at younger ages can make them more vulnerable to peer disapproval, victimization, and family ruptures (Rand et al., 2021).</w:t>
      </w:r>
      <w:r w:rsidR="002800BF">
        <w:rPr>
          <w:rFonts w:ascii="Times New Roman" w:hAnsi="Times New Roman" w:cs="Times New Roman"/>
          <w:bCs/>
          <w:color w:val="0D0D0D" w:themeColor="text2" w:themeTint="F2"/>
        </w:rPr>
        <w:t xml:space="preserve"> </w:t>
      </w:r>
    </w:p>
    <w:p w14:paraId="1E735B49" w14:textId="77777777" w:rsidR="002800BF" w:rsidRDefault="0032101A" w:rsidP="002800BF">
      <w:pPr>
        <w:ind w:firstLine="0"/>
        <w:rPr>
          <w:b/>
          <w:bCs/>
          <w:i/>
          <w:iCs/>
        </w:rPr>
      </w:pPr>
      <w:r w:rsidRPr="002800BF">
        <w:rPr>
          <w:b/>
          <w:bCs/>
          <w:iCs/>
        </w:rPr>
        <w:t>Historical Events and Figures Impacting the Cultural and Societal Perceptions</w:t>
      </w:r>
      <w:r w:rsidR="00270D3B">
        <w:rPr>
          <w:b/>
          <w:bCs/>
          <w:i/>
          <w:iCs/>
        </w:rPr>
        <w:t xml:space="preserve">. </w:t>
      </w:r>
    </w:p>
    <w:p w14:paraId="4A9567FA" w14:textId="00275181" w:rsidR="0032101A" w:rsidRPr="002800BF" w:rsidRDefault="002800BF" w:rsidP="002800BF">
      <w:pPr>
        <w:ind w:firstLine="360"/>
        <w:rPr>
          <w:rFonts w:ascii="Times New Roman" w:hAnsi="Times New Roman" w:cs="Times New Roman"/>
          <w:bCs/>
          <w:color w:val="0D0D0D" w:themeColor="text2" w:themeTint="F2"/>
        </w:rPr>
      </w:pPr>
      <w:r>
        <w:rPr>
          <w:bCs/>
          <w:iCs/>
        </w:rPr>
        <w:lastRenderedPageBreak/>
        <w:t>Th</w:t>
      </w:r>
      <w:r w:rsidR="00237191">
        <w:rPr>
          <w:bCs/>
          <w:iCs/>
        </w:rPr>
        <w:t>e following historical events and figures represent a small fraction of the significant impact the LGBTQ+ community and its allies have had on shaping cultural and societal perceptions.</w:t>
      </w:r>
    </w:p>
    <w:p w14:paraId="5517FD35" w14:textId="2684AA7D" w:rsidR="00237191" w:rsidRDefault="00237191" w:rsidP="00237191">
      <w:pPr>
        <w:pStyle w:val="ListParagraph"/>
        <w:numPr>
          <w:ilvl w:val="0"/>
          <w:numId w:val="20"/>
        </w:numPr>
        <w:rPr>
          <w:bCs/>
          <w:iCs/>
        </w:rPr>
      </w:pPr>
      <w:r>
        <w:rPr>
          <w:bCs/>
          <w:iCs/>
        </w:rPr>
        <w:t>The 1969 Stonewall Riots: Marked the beginning of the modern LGBTQ+ rights movement in the U.S. and is celebrated annually during Pride Month</w:t>
      </w:r>
      <w:r w:rsidR="001F6B2A">
        <w:rPr>
          <w:bCs/>
          <w:iCs/>
        </w:rPr>
        <w:t xml:space="preserve"> (Hays &amp; Erford, 2023)</w:t>
      </w:r>
      <w:r>
        <w:rPr>
          <w:bCs/>
          <w:iCs/>
        </w:rPr>
        <w:t>.</w:t>
      </w:r>
    </w:p>
    <w:p w14:paraId="4030B8F6" w14:textId="6E3F401C" w:rsidR="00237191" w:rsidRDefault="00237191" w:rsidP="00237191">
      <w:pPr>
        <w:pStyle w:val="ListParagraph"/>
        <w:numPr>
          <w:ilvl w:val="0"/>
          <w:numId w:val="20"/>
        </w:numPr>
        <w:rPr>
          <w:bCs/>
          <w:iCs/>
        </w:rPr>
      </w:pPr>
      <w:r>
        <w:rPr>
          <w:bCs/>
          <w:iCs/>
        </w:rPr>
        <w:t xml:space="preserve">Harvey Milk: </w:t>
      </w:r>
      <w:r w:rsidR="008E32B4">
        <w:rPr>
          <w:bCs/>
          <w:iCs/>
        </w:rPr>
        <w:t>Milk was a strong advocate for LGBTQ+ rights and he was the f</w:t>
      </w:r>
      <w:r>
        <w:rPr>
          <w:bCs/>
          <w:iCs/>
        </w:rPr>
        <w:t>irst openly gay elected California official who was assassinated in 1978</w:t>
      </w:r>
      <w:r w:rsidR="008E32B4">
        <w:rPr>
          <w:bCs/>
          <w:iCs/>
        </w:rPr>
        <w:t xml:space="preserve"> (Weststrate, &amp; McLean, 2023).</w:t>
      </w:r>
    </w:p>
    <w:p w14:paraId="04A28620" w14:textId="50CCD2A8" w:rsidR="00237191" w:rsidRDefault="008E32B4" w:rsidP="00237191">
      <w:pPr>
        <w:pStyle w:val="ListParagraph"/>
        <w:numPr>
          <w:ilvl w:val="0"/>
          <w:numId w:val="20"/>
        </w:numPr>
        <w:rPr>
          <w:bCs/>
          <w:iCs/>
        </w:rPr>
      </w:pPr>
      <w:r>
        <w:rPr>
          <w:bCs/>
          <w:iCs/>
        </w:rPr>
        <w:t>AIDS Epidemic: B</w:t>
      </w:r>
      <w:r w:rsidR="00237191">
        <w:rPr>
          <w:bCs/>
          <w:iCs/>
        </w:rPr>
        <w:t>rought attention to LGBTQ+ health issues and highlighted societal stigmas and discrimination. The response to the crisis catalyzed activism and community support</w:t>
      </w:r>
      <w:r>
        <w:rPr>
          <w:bCs/>
          <w:iCs/>
        </w:rPr>
        <w:t xml:space="preserve"> (Halkitis, 2019)</w:t>
      </w:r>
      <w:r w:rsidR="00237191">
        <w:rPr>
          <w:bCs/>
          <w:iCs/>
        </w:rPr>
        <w:t>.</w:t>
      </w:r>
    </w:p>
    <w:p w14:paraId="16070581" w14:textId="2796BDBE" w:rsidR="00237191" w:rsidRDefault="00237191" w:rsidP="00237191">
      <w:pPr>
        <w:pStyle w:val="ListParagraph"/>
        <w:numPr>
          <w:ilvl w:val="0"/>
          <w:numId w:val="20"/>
        </w:numPr>
        <w:rPr>
          <w:bCs/>
          <w:iCs/>
        </w:rPr>
      </w:pPr>
      <w:r>
        <w:rPr>
          <w:bCs/>
          <w:iCs/>
        </w:rPr>
        <w:t>Transg</w:t>
      </w:r>
      <w:r w:rsidR="00375A13">
        <w:rPr>
          <w:bCs/>
          <w:iCs/>
        </w:rPr>
        <w:t>ender Visibility and Activism: Popular public f</w:t>
      </w:r>
      <w:r>
        <w:rPr>
          <w:bCs/>
          <w:iCs/>
        </w:rPr>
        <w:t>igures</w:t>
      </w:r>
      <w:r w:rsidR="008E32B4">
        <w:rPr>
          <w:bCs/>
          <w:iCs/>
        </w:rPr>
        <w:t xml:space="preserve"> like Laverne Cox and Chaz Bono</w:t>
      </w:r>
      <w:r>
        <w:rPr>
          <w:bCs/>
          <w:iCs/>
        </w:rPr>
        <w:t xml:space="preserve"> have become influential advocates contributing to greater understanding and acceptance of transgender individuals</w:t>
      </w:r>
      <w:r w:rsidR="00375A13">
        <w:rPr>
          <w:bCs/>
          <w:iCs/>
        </w:rPr>
        <w:t xml:space="preserve"> (Mocarski et al, 2019)</w:t>
      </w:r>
      <w:r>
        <w:rPr>
          <w:bCs/>
          <w:iCs/>
        </w:rPr>
        <w:t>.</w:t>
      </w:r>
    </w:p>
    <w:p w14:paraId="336DCE49" w14:textId="24D5E3CE" w:rsidR="00237191" w:rsidRPr="00237191" w:rsidRDefault="00237191" w:rsidP="00237191">
      <w:pPr>
        <w:pStyle w:val="ListParagraph"/>
        <w:numPr>
          <w:ilvl w:val="0"/>
          <w:numId w:val="20"/>
        </w:numPr>
        <w:rPr>
          <w:bCs/>
          <w:iCs/>
        </w:rPr>
      </w:pPr>
      <w:r>
        <w:rPr>
          <w:bCs/>
          <w:iCs/>
        </w:rPr>
        <w:t xml:space="preserve">Conversion Therapy Bans: </w:t>
      </w:r>
      <w:r w:rsidRPr="00237191">
        <w:rPr>
          <w:bCs/>
          <w:iCs/>
        </w:rPr>
        <w:t>Many countries and regions have taken steps to ban</w:t>
      </w:r>
      <w:r w:rsidR="00EC7F33">
        <w:rPr>
          <w:bCs/>
          <w:iCs/>
        </w:rPr>
        <w:t xml:space="preserve"> so-called conversion therapy</w:t>
      </w:r>
      <w:r w:rsidR="00375A13">
        <w:rPr>
          <w:bCs/>
          <w:iCs/>
        </w:rPr>
        <w:t xml:space="preserve"> due to</w:t>
      </w:r>
      <w:r>
        <w:rPr>
          <w:bCs/>
          <w:iCs/>
        </w:rPr>
        <w:t xml:space="preserve"> the growing recognition</w:t>
      </w:r>
      <w:r w:rsidR="00375A13">
        <w:rPr>
          <w:bCs/>
          <w:iCs/>
        </w:rPr>
        <w:t xml:space="preserve"> of the harmful impact it has</w:t>
      </w:r>
      <w:r>
        <w:rPr>
          <w:bCs/>
          <w:iCs/>
        </w:rPr>
        <w:t xml:space="preserve"> on LGBTQ+ individuals.</w:t>
      </w:r>
      <w:r w:rsidR="00EC7F33">
        <w:rPr>
          <w:bCs/>
          <w:iCs/>
        </w:rPr>
        <w:t xml:space="preserve"> Conversion therapy disregards</w:t>
      </w:r>
      <w:r w:rsidR="00EC7F33" w:rsidRPr="00EC7F33">
        <w:rPr>
          <w:bCs/>
          <w:iCs/>
        </w:rPr>
        <w:t xml:space="preserve"> the equal moral value of LGBTIQ+ individuals and </w:t>
      </w:r>
      <w:r w:rsidR="00EC7F33">
        <w:rPr>
          <w:bCs/>
          <w:iCs/>
        </w:rPr>
        <w:t>infringes</w:t>
      </w:r>
      <w:r w:rsidR="00EC7F33" w:rsidRPr="00EC7F33">
        <w:rPr>
          <w:bCs/>
          <w:iCs/>
        </w:rPr>
        <w:t xml:space="preserve"> upon protected areas of liberty and equality linked to the concept of human dignity</w:t>
      </w:r>
      <w:r w:rsidR="00EC7F33">
        <w:rPr>
          <w:bCs/>
          <w:iCs/>
        </w:rPr>
        <w:t xml:space="preserve"> (Trispiotis &amp; Purshouse, 2021)</w:t>
      </w:r>
    </w:p>
    <w:p w14:paraId="3EBDBEFB" w14:textId="4D58DD97" w:rsidR="0032101A" w:rsidRDefault="0032101A" w:rsidP="0032101A">
      <w:pPr>
        <w:ind w:firstLine="0"/>
        <w:jc w:val="center"/>
        <w:rPr>
          <w:b/>
          <w:bCs/>
          <w:iCs/>
        </w:rPr>
      </w:pPr>
      <w:r>
        <w:rPr>
          <w:b/>
          <w:bCs/>
          <w:iCs/>
        </w:rPr>
        <w:t>Historical and C</w:t>
      </w:r>
      <w:r w:rsidR="00F62441">
        <w:rPr>
          <w:b/>
          <w:bCs/>
          <w:iCs/>
        </w:rPr>
        <w:t>urrent Oppression of the LGBTQ+</w:t>
      </w:r>
    </w:p>
    <w:p w14:paraId="059815CA" w14:textId="015F0A78" w:rsidR="00EC7F33" w:rsidRDefault="00022050" w:rsidP="00EC7F33">
      <w:pPr>
        <w:ind w:firstLine="0"/>
        <w:rPr>
          <w:b/>
          <w:bCs/>
          <w:iCs/>
        </w:rPr>
      </w:pPr>
      <w:r>
        <w:rPr>
          <w:b/>
          <w:bCs/>
          <w:iCs/>
        </w:rPr>
        <w:t>Historical Oppression</w:t>
      </w:r>
    </w:p>
    <w:p w14:paraId="481F7C80" w14:textId="30839A1A" w:rsidR="00890E30" w:rsidRDefault="00022050" w:rsidP="00EC7F33">
      <w:pPr>
        <w:ind w:firstLine="0"/>
        <w:rPr>
          <w:bCs/>
          <w:iCs/>
        </w:rPr>
      </w:pPr>
      <w:r>
        <w:rPr>
          <w:b/>
          <w:bCs/>
          <w:iCs/>
        </w:rPr>
        <w:lastRenderedPageBreak/>
        <w:tab/>
      </w:r>
      <w:r w:rsidRPr="00022050">
        <w:rPr>
          <w:bCs/>
          <w:iCs/>
        </w:rPr>
        <w:t>Throughout history, the LGBTQ</w:t>
      </w:r>
      <w:r w:rsidR="00743582">
        <w:rPr>
          <w:bCs/>
          <w:iCs/>
        </w:rPr>
        <w:t>+ community has endured</w:t>
      </w:r>
      <w:r w:rsidRPr="00022050">
        <w:rPr>
          <w:bCs/>
          <w:iCs/>
        </w:rPr>
        <w:t xml:space="preserve"> oppression and discrimination, resulting in </w:t>
      </w:r>
      <w:r w:rsidR="00743582">
        <w:rPr>
          <w:bCs/>
          <w:iCs/>
        </w:rPr>
        <w:t>marginalization and poor mental health</w:t>
      </w:r>
      <w:r w:rsidR="000251A3">
        <w:rPr>
          <w:bCs/>
          <w:iCs/>
        </w:rPr>
        <w:t xml:space="preserve"> outcomes</w:t>
      </w:r>
      <w:r w:rsidRPr="00022050">
        <w:rPr>
          <w:bCs/>
          <w:iCs/>
        </w:rPr>
        <w:t>. LGBTQ+ individuals have been subjected to prejudice, ostracism, and even death due to their sexual orientation or gender identity</w:t>
      </w:r>
      <w:r w:rsidR="006833DA">
        <w:rPr>
          <w:bCs/>
          <w:iCs/>
        </w:rPr>
        <w:t xml:space="preserve"> (Moagi et al, 2021)</w:t>
      </w:r>
      <w:r w:rsidRPr="00022050">
        <w:rPr>
          <w:bCs/>
          <w:iCs/>
        </w:rPr>
        <w:t>. The journey toward LGBTQ+ rights</w:t>
      </w:r>
      <w:r w:rsidR="00743582">
        <w:rPr>
          <w:bCs/>
          <w:iCs/>
        </w:rPr>
        <w:t xml:space="preserve"> and acceptance has been challenging </w:t>
      </w:r>
      <w:r w:rsidRPr="00022050">
        <w:rPr>
          <w:bCs/>
          <w:iCs/>
        </w:rPr>
        <w:t>with pivotal events like the Stonewall Riots in 1969 serving as catalysts for the modern LGBTQ+ rights movement</w:t>
      </w:r>
      <w:r w:rsidR="006717C5">
        <w:rPr>
          <w:bCs/>
          <w:iCs/>
        </w:rPr>
        <w:t xml:space="preserve"> (</w:t>
      </w:r>
      <w:r w:rsidR="00743582">
        <w:rPr>
          <w:bCs/>
          <w:iCs/>
        </w:rPr>
        <w:t>Hays &amp; Erford, 2023</w:t>
      </w:r>
      <w:r w:rsidR="006717C5">
        <w:rPr>
          <w:bCs/>
          <w:iCs/>
        </w:rPr>
        <w:t>)</w:t>
      </w:r>
      <w:r w:rsidRPr="00022050">
        <w:rPr>
          <w:bCs/>
          <w:iCs/>
        </w:rPr>
        <w:t>. Additionally, the AIDS epidemic of the 1980s further exposed the community's vulnerability and unveiled societal prejudices</w:t>
      </w:r>
      <w:r w:rsidR="00743582">
        <w:rPr>
          <w:bCs/>
          <w:iCs/>
        </w:rPr>
        <w:t xml:space="preserve"> (Halkitis, 2019)</w:t>
      </w:r>
      <w:r w:rsidRPr="00022050">
        <w:rPr>
          <w:bCs/>
          <w:iCs/>
        </w:rPr>
        <w:t>.</w:t>
      </w:r>
      <w:r w:rsidR="00743582">
        <w:rPr>
          <w:bCs/>
          <w:iCs/>
        </w:rPr>
        <w:t xml:space="preserve"> </w:t>
      </w:r>
      <w:r w:rsidR="00890E30" w:rsidRPr="00890E30">
        <w:rPr>
          <w:bCs/>
          <w:iCs/>
        </w:rPr>
        <w:t xml:space="preserve">In the past, publications created by Gays and Lesbians faced charges of obscenity and were confiscated until a significant turning point in 1958 when a Supreme Court ruling prohibited such actions (American Bar Association, 2022). Additionally, there was a time when LGBTQ+ individuals were prohibited from forming groups at public colleges and universities (American Bar Association, 2022). Furthermore, they endured </w:t>
      </w:r>
      <w:r w:rsidR="000251A3">
        <w:rPr>
          <w:bCs/>
          <w:iCs/>
        </w:rPr>
        <w:t xml:space="preserve">being labeled </w:t>
      </w:r>
      <w:r w:rsidR="00890E30" w:rsidRPr="00890E30">
        <w:rPr>
          <w:bCs/>
          <w:iCs/>
        </w:rPr>
        <w:t>as unfit custodial parents and were denied opportunities to hold certain jobs, including serving in the United States military (American Bar Association, 2022).</w:t>
      </w:r>
    </w:p>
    <w:p w14:paraId="62E99D68" w14:textId="4290CD44" w:rsidR="00022050" w:rsidRDefault="00022050" w:rsidP="00EC7F33">
      <w:pPr>
        <w:ind w:firstLine="0"/>
        <w:rPr>
          <w:b/>
          <w:bCs/>
          <w:iCs/>
        </w:rPr>
      </w:pPr>
      <w:r>
        <w:rPr>
          <w:b/>
          <w:bCs/>
          <w:iCs/>
        </w:rPr>
        <w:t>Current Oppression</w:t>
      </w:r>
    </w:p>
    <w:p w14:paraId="10BBD7ED" w14:textId="44C92772" w:rsidR="0032101A" w:rsidRDefault="00022050" w:rsidP="0032101A">
      <w:pPr>
        <w:ind w:firstLine="0"/>
        <w:rPr>
          <w:b/>
          <w:bCs/>
          <w:iCs/>
        </w:rPr>
      </w:pPr>
      <w:r>
        <w:rPr>
          <w:b/>
          <w:bCs/>
          <w:iCs/>
        </w:rPr>
        <w:tab/>
      </w:r>
      <w:r w:rsidRPr="00022050">
        <w:rPr>
          <w:bCs/>
          <w:iCs/>
        </w:rPr>
        <w:t xml:space="preserve">Despite significant progress, the LGBTQ+ community continues to experience various forms of oppression in the present day. Discrimination and violence persist, negatively impacting the well-being and quality of life </w:t>
      </w:r>
      <w:r w:rsidR="00236842">
        <w:rPr>
          <w:bCs/>
          <w:iCs/>
        </w:rPr>
        <w:t>of</w:t>
      </w:r>
      <w:r w:rsidRPr="00022050">
        <w:rPr>
          <w:bCs/>
          <w:iCs/>
        </w:rPr>
        <w:t xml:space="preserve"> LGBTQ</w:t>
      </w:r>
      <w:r w:rsidR="00236842">
        <w:rPr>
          <w:bCs/>
          <w:iCs/>
        </w:rPr>
        <w:t>+ individuals (Moagi et al, 2021). In 76 countries</w:t>
      </w:r>
      <w:r w:rsidRPr="00022050">
        <w:rPr>
          <w:bCs/>
          <w:iCs/>
        </w:rPr>
        <w:t>, same-sex relationships</w:t>
      </w:r>
      <w:r w:rsidR="00236842">
        <w:rPr>
          <w:bCs/>
          <w:iCs/>
        </w:rPr>
        <w:t>,</w:t>
      </w:r>
      <w:r w:rsidRPr="00022050">
        <w:rPr>
          <w:bCs/>
          <w:iCs/>
        </w:rPr>
        <w:t xml:space="preserve"> and non-binary gender identities are still criminalized or stigmatized by both laws and cultural norms</w:t>
      </w:r>
      <w:r w:rsidR="00236842">
        <w:rPr>
          <w:bCs/>
          <w:iCs/>
        </w:rPr>
        <w:t xml:space="preserve"> (Moagi et al, 2021)</w:t>
      </w:r>
      <w:r w:rsidRPr="00022050">
        <w:rPr>
          <w:bCs/>
          <w:iCs/>
        </w:rPr>
        <w:t>.</w:t>
      </w:r>
      <w:r w:rsidR="00236842">
        <w:rPr>
          <w:bCs/>
          <w:iCs/>
        </w:rPr>
        <w:t xml:space="preserve"> </w:t>
      </w:r>
      <w:r w:rsidR="00236842" w:rsidRPr="00236842">
        <w:rPr>
          <w:bCs/>
          <w:iCs/>
        </w:rPr>
        <w:t>Transgender individuals experience a range of socio-economic and cultural injustices, primarily stemming from the denial of recognition, where heterosexuality is privileged, and homosexuality is devalued (Moagi et al., 2021).</w:t>
      </w:r>
      <w:r w:rsidR="00236842">
        <w:rPr>
          <w:bCs/>
          <w:iCs/>
        </w:rPr>
        <w:t xml:space="preserve"> </w:t>
      </w:r>
    </w:p>
    <w:p w14:paraId="430C89FE" w14:textId="12A8E871" w:rsidR="00365FDC" w:rsidRDefault="0032101A" w:rsidP="0032101A">
      <w:pPr>
        <w:ind w:firstLine="0"/>
        <w:jc w:val="center"/>
        <w:rPr>
          <w:b/>
        </w:rPr>
      </w:pPr>
      <w:r w:rsidRPr="0032101A">
        <w:rPr>
          <w:b/>
        </w:rPr>
        <w:t>Events</w:t>
      </w:r>
    </w:p>
    <w:p w14:paraId="02FD00BA" w14:textId="6499CC6D" w:rsidR="000C2C81" w:rsidRDefault="000C2C81" w:rsidP="0032101A">
      <w:pPr>
        <w:ind w:firstLine="0"/>
        <w:rPr>
          <w:b/>
        </w:rPr>
      </w:pPr>
      <w:r>
        <w:rPr>
          <w:b/>
        </w:rPr>
        <w:lastRenderedPageBreak/>
        <w:t>Event One</w:t>
      </w:r>
    </w:p>
    <w:p w14:paraId="011DBEB7" w14:textId="7AB5B75A" w:rsidR="006E55A6" w:rsidRDefault="006E55A6" w:rsidP="0032101A">
      <w:pPr>
        <w:ind w:firstLine="0"/>
      </w:pPr>
      <w:r>
        <w:rPr>
          <w:b/>
        </w:rPr>
        <w:tab/>
      </w:r>
      <w:r w:rsidR="000251A3">
        <w:t>I attended an</w:t>
      </w:r>
      <w:r w:rsidRPr="006E55A6">
        <w:t xml:space="preserve"> LGBTQ+ event at Club Escapade, a Drag Queen Bar in Belleville, IL</w:t>
      </w:r>
      <w:r w:rsidR="000251A3">
        <w:t>. I found it to be</w:t>
      </w:r>
      <w:r w:rsidRPr="006E55A6">
        <w:t xml:space="preserve"> an eye-opening experience that immersed me in a vibrant and inclusive atmosphere. The lively energy of the crowd, adorned with rainbow colors and pride flags, exuded acceptance and unity. Drag performances became a powerful medium of self-expression, showcasing a diverse range of identities and styles. Engaging with attendees, I discovered stories of resilience and empowerment, each contributing to the broader tapestry of LGBTQ+ awareness.</w:t>
      </w:r>
    </w:p>
    <w:p w14:paraId="43824C33" w14:textId="7FD97A3B" w:rsidR="006E55A6" w:rsidRPr="006E55A6" w:rsidRDefault="006E55A6" w:rsidP="006E55A6">
      <w:pPr>
        <w:ind w:firstLine="0"/>
      </w:pPr>
      <w:r>
        <w:tab/>
      </w:r>
      <w:r w:rsidRPr="006E55A6">
        <w:t xml:space="preserve">Advocating </w:t>
      </w:r>
      <w:r>
        <w:t xml:space="preserve">for </w:t>
      </w:r>
      <w:r w:rsidRPr="006E55A6">
        <w:t xml:space="preserve">LGBTQ+ awareness took shape through conversations that broke down stereotypes and misconceptions. The event facilitated discussions about challenges faced by the LGBTQ+ community and the importance of fostering understanding and empathy. The sense of belonging was </w:t>
      </w:r>
      <w:r w:rsidR="000251A3">
        <w:t>felt</w:t>
      </w:r>
      <w:r w:rsidRPr="006E55A6">
        <w:t>, as individuals of various backgrounds shared their personal journeys and triumphs.</w:t>
      </w:r>
      <w:r>
        <w:t xml:space="preserve"> </w:t>
      </w:r>
      <w:r w:rsidRPr="006E55A6">
        <w:t>This experience underscored the significance of safe spaces like these in promoting awareness, acceptance, and ultimately, unity within the LGBTQ+ community and beyond.</w:t>
      </w:r>
    </w:p>
    <w:p w14:paraId="69584FF6" w14:textId="3D13E500" w:rsidR="000C2C81" w:rsidRDefault="000C2C81" w:rsidP="0032101A">
      <w:pPr>
        <w:ind w:firstLine="0"/>
        <w:rPr>
          <w:b/>
        </w:rPr>
      </w:pPr>
      <w:r>
        <w:rPr>
          <w:b/>
        </w:rPr>
        <w:t>Event Two</w:t>
      </w:r>
    </w:p>
    <w:p w14:paraId="14228868" w14:textId="300A4615" w:rsidR="000437EA" w:rsidRPr="000437EA" w:rsidRDefault="000437EA" w:rsidP="00516E51">
      <w:r>
        <w:rPr>
          <w:b/>
        </w:rPr>
        <w:tab/>
      </w:r>
      <w:r>
        <w:t>I Attended</w:t>
      </w:r>
      <w:r w:rsidRPr="000437EA">
        <w:t xml:space="preserve"> an LGBTQ+ </w:t>
      </w:r>
      <w:r w:rsidR="00516E51">
        <w:t>event in downtown St. Louis</w:t>
      </w:r>
      <w:r w:rsidRPr="000437EA">
        <w:t xml:space="preserve"> </w:t>
      </w:r>
      <w:r w:rsidR="00516E51">
        <w:t xml:space="preserve">that </w:t>
      </w:r>
      <w:r w:rsidRPr="000437EA">
        <w:t>focused on ra</w:t>
      </w:r>
      <w:r w:rsidR="00516E51">
        <w:t xml:space="preserve">ising </w:t>
      </w:r>
      <w:r w:rsidR="000251A3">
        <w:t xml:space="preserve">LGBTQ+ </w:t>
      </w:r>
      <w:r w:rsidR="00516E51">
        <w:t>awareness.</w:t>
      </w:r>
      <w:r w:rsidRPr="000437EA">
        <w:t xml:space="preserve"> The event kicked off with paper surveys that prompted participants, including myself, to ponder thought-provoking questions about LGBTQ+ perspectives and issues. This interactive approach encouraged self-reflection and deeper understanding.</w:t>
      </w:r>
      <w:r w:rsidR="00516E51">
        <w:t xml:space="preserve"> </w:t>
      </w:r>
      <w:r w:rsidRPr="000437EA">
        <w:t>Following the surveys, an open discussion about LGBTQ+ culture unfolded, where passersby and attendees could freely ask questions. The willingness of those leading the</w:t>
      </w:r>
      <w:r w:rsidRPr="000437EA">
        <w:rPr>
          <w:b/>
        </w:rPr>
        <w:t xml:space="preserve"> </w:t>
      </w:r>
      <w:r w:rsidRPr="000437EA">
        <w:t xml:space="preserve">discussion to answer openly and honestly created an environment of open dialogue and learning. Conversations </w:t>
      </w:r>
      <w:r w:rsidR="00516E51">
        <w:t>and discussions advocating for the LGBTQ+</w:t>
      </w:r>
      <w:r w:rsidRPr="000437EA">
        <w:t xml:space="preserve"> community</w:t>
      </w:r>
      <w:r w:rsidR="00516E51">
        <w:t xml:space="preserve"> flowed naturally</w:t>
      </w:r>
      <w:r w:rsidRPr="000437EA">
        <w:t>.</w:t>
      </w:r>
    </w:p>
    <w:p w14:paraId="365F1BEF" w14:textId="56EED64A" w:rsidR="006E55A6" w:rsidRPr="006E55A6" w:rsidRDefault="000437EA" w:rsidP="00516E51">
      <w:r w:rsidRPr="000437EA">
        <w:lastRenderedPageBreak/>
        <w:t xml:space="preserve">Being a part of this event left me feeling both educated and connected. Witnessing people from all walks of life engage in conversations to promote understanding was truly inspiring. It </w:t>
      </w:r>
      <w:r w:rsidR="00516E51">
        <w:t>was a platform for the</w:t>
      </w:r>
      <w:r w:rsidRPr="000437EA">
        <w:t xml:space="preserve"> transformative power of open conversations in break</w:t>
      </w:r>
      <w:r w:rsidR="00516E51">
        <w:t>ing down misconceptions and creating</w:t>
      </w:r>
      <w:r w:rsidRPr="000437EA">
        <w:t xml:space="preserve"> acceptance. This experience reinforced the importance of creating spaces for dialogue to bridge gaps and promote connections among diverse individuals.</w:t>
      </w:r>
      <w:r w:rsidR="006E55A6">
        <w:rPr>
          <w:b/>
        </w:rPr>
        <w:tab/>
      </w:r>
    </w:p>
    <w:p w14:paraId="3051637E" w14:textId="3DBAD6C3" w:rsidR="000C2C81" w:rsidRDefault="000C2C81" w:rsidP="0032101A">
      <w:pPr>
        <w:ind w:firstLine="0"/>
        <w:rPr>
          <w:b/>
        </w:rPr>
      </w:pPr>
      <w:r>
        <w:rPr>
          <w:b/>
        </w:rPr>
        <w:t>Participation and Emotional Impact</w:t>
      </w:r>
    </w:p>
    <w:p w14:paraId="5D08B9A3" w14:textId="28799AFD" w:rsidR="00447F17" w:rsidRDefault="006E55A6" w:rsidP="00447F17">
      <w:r>
        <w:rPr>
          <w:b/>
        </w:rPr>
        <w:tab/>
      </w:r>
      <w:r>
        <w:rPr>
          <w:b/>
          <w:i/>
        </w:rPr>
        <w:t>Event 1:</w:t>
      </w:r>
      <w:r w:rsidRPr="006E55A6">
        <w:rPr>
          <w:rFonts w:ascii="Segoe UI" w:eastAsia="Times New Roman" w:hAnsi="Segoe UI" w:cs="Segoe UI"/>
          <w:b/>
          <w:color w:val="374151"/>
          <w:kern w:val="0"/>
          <w:lang w:eastAsia="en-US"/>
        </w:rPr>
        <w:t xml:space="preserve"> </w:t>
      </w:r>
      <w:r w:rsidRPr="006E55A6">
        <w:t>Participating in an LGBTQ+ event like the one at Club Escapade was truly an eye-opening experience for me, as someone who had never been to such an event before but considers myself open-minded. At first, there was a mix of</w:t>
      </w:r>
      <w:r w:rsidR="00447F17">
        <w:t xml:space="preserve"> anxiety,</w:t>
      </w:r>
      <w:r w:rsidRPr="006E55A6">
        <w:t xml:space="preserve"> curiosity</w:t>
      </w:r>
      <w:r w:rsidR="00447F17">
        <w:t>,</w:t>
      </w:r>
      <w:r w:rsidRPr="006E55A6">
        <w:t xml:space="preserve"> and excitement as I entered an environment that embraced diverse identities. As the night went on, </w:t>
      </w:r>
      <w:r w:rsidR="00447F17">
        <w:t xml:space="preserve">I became more relaxed </w:t>
      </w:r>
      <w:r w:rsidRPr="006E55A6">
        <w:t>witnessing the c</w:t>
      </w:r>
      <w:r w:rsidR="00447F17">
        <w:t>aptivating drag performances. E</w:t>
      </w:r>
      <w:r w:rsidRPr="006E55A6">
        <w:t>ngaging with attendees sparked a sense of wonder and connection within me</w:t>
      </w:r>
      <w:r w:rsidR="00447F17">
        <w:t xml:space="preserve"> as they openly accepted me without hesitation. </w:t>
      </w:r>
      <w:r w:rsidRPr="006E55A6">
        <w:t>This experience prompted me to reflect on any preconceived notions I might have held and encouraged me to recons</w:t>
      </w:r>
      <w:r w:rsidR="00447F17">
        <w:t>ider them.</w:t>
      </w:r>
      <w:r w:rsidRPr="006E55A6">
        <w:t xml:space="preserve"> By the end of the event, I found myself genuinely moved, carrying with me a newfound sense of empathy and a commitment to advocating for LGBTQ+ rights and awareness in my own circles.</w:t>
      </w:r>
      <w:r w:rsidR="00447F17">
        <w:t xml:space="preserve"> I attribute my compassion and open-mindedness to being able to connect with </w:t>
      </w:r>
      <w:r w:rsidR="000437EA">
        <w:t>the LGBTQ+ community.</w:t>
      </w:r>
    </w:p>
    <w:p w14:paraId="1FE41F69" w14:textId="522EBCA6" w:rsidR="006E55A6" w:rsidRDefault="006E55A6" w:rsidP="00447F17">
      <w:r>
        <w:rPr>
          <w:b/>
          <w:i/>
        </w:rPr>
        <w:t xml:space="preserve">Event 2: </w:t>
      </w:r>
      <w:r w:rsidR="00F8242B">
        <w:t xml:space="preserve">I found that participating in this particular event I was anxious about potential negative reactions from </w:t>
      </w:r>
      <w:r w:rsidR="000251A3">
        <w:t>others</w:t>
      </w:r>
      <w:r w:rsidR="00F8242B">
        <w:t xml:space="preserve">. Initially, my anxiety heightened my sensitivity to the atmosphere, causing me to feel a bit on edge. However, as the event started and the paper surveys and open discussions began, my apprehension began to ease. Engaging in real conversations and seeing how willing people were to openly discuss LGBTQ+ topics slowly shifted my emotional </w:t>
      </w:r>
      <w:r w:rsidR="00F8242B">
        <w:lastRenderedPageBreak/>
        <w:t>experience. Despite the handful of hurtful comments and obscene gestures made in passing, my anxiety gradually transformed into a sense of empathy, empowerment, and connection.</w:t>
      </w:r>
    </w:p>
    <w:p w14:paraId="43CDD39A" w14:textId="76096EF9" w:rsidR="006E55A6" w:rsidRPr="006E55A6" w:rsidRDefault="00F8242B" w:rsidP="001144C9">
      <w:r>
        <w:t xml:space="preserve">I feel my nervousness was triggered by my thoughts of possible hate crimes, not knowing how to appropriately navigate negative conversations, and fear of saying the wrong </w:t>
      </w:r>
      <w:r w:rsidR="000251A3">
        <w:t>thing or</w:t>
      </w:r>
      <w:r w:rsidR="001144C9">
        <w:t xml:space="preserve"> unintentionally </w:t>
      </w:r>
      <w:r>
        <w:t>offending someone</w:t>
      </w:r>
      <w:r w:rsidR="001144C9">
        <w:t>. However, witnessing the curiosity and positive responses from others challenged the negative scenarios I had previously imagined. By the end of the event, my anxious feelings were replaced with a sense of achievement.</w:t>
      </w:r>
    </w:p>
    <w:p w14:paraId="7164FBA9" w14:textId="5A43505A" w:rsidR="000C2C81" w:rsidRDefault="000C2C81" w:rsidP="0032101A">
      <w:pPr>
        <w:ind w:firstLine="0"/>
        <w:rPr>
          <w:b/>
        </w:rPr>
      </w:pPr>
      <w:r>
        <w:rPr>
          <w:b/>
        </w:rPr>
        <w:t>Three Key Learnings Not Reflected in Research</w:t>
      </w:r>
    </w:p>
    <w:p w14:paraId="636E790A" w14:textId="6E6F5F84" w:rsidR="009E2A02" w:rsidRPr="009E2A02" w:rsidRDefault="009E2A02" w:rsidP="0032101A">
      <w:pPr>
        <w:ind w:firstLine="0"/>
      </w:pPr>
      <w:r>
        <w:rPr>
          <w:b/>
        </w:rPr>
        <w:tab/>
      </w:r>
      <w:r>
        <w:t>Participating in the two</w:t>
      </w:r>
      <w:r w:rsidRPr="009E2A02">
        <w:t xml:space="preserve"> LGBTQ+ </w:t>
      </w:r>
      <w:r>
        <w:t>events</w:t>
      </w:r>
      <w:r w:rsidRPr="009E2A02">
        <w:t xml:space="preserve"> has allowed me to explore a world beyond the confines of research, offering insights and lessons that research alone cannot capture. </w:t>
      </w:r>
      <w:r w:rsidR="000201D1">
        <w:t>I</w:t>
      </w:r>
      <w:r>
        <w:t>mmersing myself in such events</w:t>
      </w:r>
      <w:r w:rsidRPr="009E2A02">
        <w:t xml:space="preserve"> has granted me a firsthand understanding of the community's dynamics, challenges, and resilience. In t</w:t>
      </w:r>
      <w:r>
        <w:t>his context, my attendance at the two very unique</w:t>
      </w:r>
      <w:r w:rsidRPr="009E2A02">
        <w:t xml:space="preserve"> LGBTQ+ awareness </w:t>
      </w:r>
      <w:r>
        <w:t>events</w:t>
      </w:r>
      <w:r w:rsidRPr="009E2A02">
        <w:t>, characterized by open conversations and interactive surveys, has provided me with eye-opening ex</w:t>
      </w:r>
      <w:r>
        <w:t>periences and profound insights that go beyond text and literature.</w:t>
      </w:r>
    </w:p>
    <w:p w14:paraId="28EC366F" w14:textId="1F35ED54" w:rsidR="001144C9" w:rsidRDefault="001144C9" w:rsidP="0032101A">
      <w:pPr>
        <w:ind w:firstLine="0"/>
      </w:pPr>
      <w:r>
        <w:rPr>
          <w:b/>
        </w:rPr>
        <w:tab/>
      </w:r>
      <w:r>
        <w:rPr>
          <w:b/>
          <w:i/>
        </w:rPr>
        <w:t xml:space="preserve">Key Learning 1: </w:t>
      </w:r>
      <w:r w:rsidR="00B524FC">
        <w:t>Being able to participate in the two unique LGBTQ+</w:t>
      </w:r>
      <w:r w:rsidR="00B524FC" w:rsidRPr="00B524FC">
        <w:t xml:space="preserve"> </w:t>
      </w:r>
      <w:r w:rsidR="00B524FC">
        <w:t>events</w:t>
      </w:r>
      <w:r w:rsidR="00B524FC" w:rsidRPr="00B524FC">
        <w:t xml:space="preserve"> taught me the profound impact of human connection and genuine understanding. Hearing personal stories and engaging in conversations with LGBTQ+ individuals and </w:t>
      </w:r>
      <w:r w:rsidR="000201D1">
        <w:t>advocates</w:t>
      </w:r>
      <w:r w:rsidR="00B524FC" w:rsidRPr="00B524FC">
        <w:t xml:space="preserve"> provided insights beyond what research could offer. These interactions fostered a deeper empathy and a more authentic grasp of their experiences and challenges.</w:t>
      </w:r>
    </w:p>
    <w:p w14:paraId="42B19D68" w14:textId="44FC6D86" w:rsidR="00B524FC" w:rsidRDefault="00B524FC" w:rsidP="0032101A">
      <w:pPr>
        <w:ind w:firstLine="0"/>
      </w:pPr>
      <w:r>
        <w:tab/>
      </w:r>
      <w:r>
        <w:rPr>
          <w:b/>
          <w:i/>
        </w:rPr>
        <w:t xml:space="preserve">Key Learning 2: </w:t>
      </w:r>
      <w:r>
        <w:t xml:space="preserve"> Both events</w:t>
      </w:r>
      <w:r w:rsidRPr="00B524FC">
        <w:t xml:space="preserve"> underscored the real-world significance </w:t>
      </w:r>
      <w:r>
        <w:t>of LGBTQ+ visibility. Having personally witnessed</w:t>
      </w:r>
      <w:r w:rsidRPr="00B524FC">
        <w:t xml:space="preserve"> the community's diversity, listening to stories of resilience, and seeing different identities celebrated revealed the tangible effects of positi</w:t>
      </w:r>
      <w:r w:rsidR="009E2A02">
        <w:t xml:space="preserve">ve </w:t>
      </w:r>
      <w:r w:rsidR="009E2A02">
        <w:lastRenderedPageBreak/>
        <w:t>representation. It was a front-row seat to personally see</w:t>
      </w:r>
      <w:r w:rsidRPr="00B524FC">
        <w:t xml:space="preserve"> how visibility can shatter stereotypes, challenge biases, and create a more inclusive society.</w:t>
      </w:r>
    </w:p>
    <w:p w14:paraId="4018076F" w14:textId="3CD1BB9C" w:rsidR="00B524FC" w:rsidRDefault="00B524FC" w:rsidP="0032101A">
      <w:pPr>
        <w:ind w:firstLine="0"/>
      </w:pPr>
      <w:r>
        <w:tab/>
      </w:r>
      <w:r>
        <w:rPr>
          <w:b/>
          <w:i/>
        </w:rPr>
        <w:t xml:space="preserve">Key Learning 3: </w:t>
      </w:r>
      <w:r>
        <w:t>Having participated</w:t>
      </w:r>
      <w:r w:rsidRPr="00B524FC">
        <w:t xml:space="preserve"> in the event</w:t>
      </w:r>
      <w:r>
        <w:t>s I feel they</w:t>
      </w:r>
      <w:r w:rsidRPr="00B524FC">
        <w:t xml:space="preserve"> showcased the remarkable strength that unity and support within the LGBTQ+ community can bring. Feeling the collective energy of </w:t>
      </w:r>
      <w:r>
        <w:t xml:space="preserve">the </w:t>
      </w:r>
      <w:r w:rsidRPr="00B524FC">
        <w:t>people working together to raise awareness and promote acceptance was incredibly empowering. It illuminated the influence of collaborative efforts in creating positive change not just within the LGBTQ+ community, but in shaping a more compassionate world for everyone.</w:t>
      </w:r>
    </w:p>
    <w:p w14:paraId="15D1D9FB" w14:textId="3F625B27" w:rsidR="0068649A" w:rsidRPr="00B524FC" w:rsidRDefault="0068649A" w:rsidP="0032101A">
      <w:pPr>
        <w:ind w:firstLine="0"/>
      </w:pPr>
      <w:r>
        <w:tab/>
      </w:r>
      <w:r w:rsidRPr="0068649A">
        <w:t>In conclusion, my pa</w:t>
      </w:r>
      <w:r>
        <w:t>rticipation in the events</w:t>
      </w:r>
      <w:r w:rsidRPr="0068649A">
        <w:t xml:space="preserve"> has been a truly transformative jou</w:t>
      </w:r>
      <w:r w:rsidR="000201D1">
        <w:t>rney</w:t>
      </w:r>
      <w:r w:rsidRPr="0068649A">
        <w:t>. Engaging directly with individuals</w:t>
      </w:r>
      <w:r>
        <w:t xml:space="preserve"> of the LGBTQ+ community and their supporters</w:t>
      </w:r>
      <w:r w:rsidRPr="0068649A">
        <w:t>, listening to their stories, and joining open discussions have deepened my comprehension of the community's struggles, achievements, and aspirations. Through this experience, I've learned the significance of human connection, the power of representation, and the strength of unity w</w:t>
      </w:r>
      <w:r>
        <w:t>ithin the LGBTQ+ community. These</w:t>
      </w:r>
      <w:r w:rsidRPr="0068649A">
        <w:t xml:space="preserve"> event</w:t>
      </w:r>
      <w:r>
        <w:t>s</w:t>
      </w:r>
      <w:r w:rsidRPr="0068649A">
        <w:t xml:space="preserve"> </w:t>
      </w:r>
      <w:r>
        <w:t>have</w:t>
      </w:r>
      <w:r w:rsidRPr="0068649A">
        <w:t xml:space="preserve"> been a reminder that </w:t>
      </w:r>
      <w:r w:rsidR="000201D1">
        <w:t>genuine</w:t>
      </w:r>
      <w:r w:rsidRPr="0068649A">
        <w:t xml:space="preserve"> understanding and meaningful change come from engaging with lived experiences rather than solely relying on written accounts.</w:t>
      </w:r>
    </w:p>
    <w:p w14:paraId="1A1785F9" w14:textId="54C82F01" w:rsidR="000C2C81" w:rsidRDefault="000C2C81" w:rsidP="0068649A">
      <w:pPr>
        <w:ind w:firstLine="0"/>
        <w:jc w:val="center"/>
        <w:rPr>
          <w:b/>
        </w:rPr>
      </w:pPr>
      <w:r>
        <w:rPr>
          <w:b/>
        </w:rPr>
        <w:t>Counseling Theories</w:t>
      </w:r>
    </w:p>
    <w:p w14:paraId="1EC02856" w14:textId="3BCEB346" w:rsidR="002C5E32" w:rsidRDefault="002C5E32" w:rsidP="002C5E32">
      <w:pPr>
        <w:ind w:firstLine="0"/>
      </w:pPr>
      <w:r>
        <w:tab/>
      </w:r>
      <w:r w:rsidRPr="002C5E32">
        <w:t xml:space="preserve">Among the major counseling theories, the </w:t>
      </w:r>
      <w:r w:rsidRPr="002C5E32">
        <w:rPr>
          <w:bCs/>
        </w:rPr>
        <w:t>Person-Centered</w:t>
      </w:r>
      <w:r w:rsidRPr="002C5E32">
        <w:t xml:space="preserve"> and </w:t>
      </w:r>
      <w:r w:rsidRPr="002C5E32">
        <w:rPr>
          <w:bCs/>
        </w:rPr>
        <w:t>Cognitive-Behavioral</w:t>
      </w:r>
      <w:r w:rsidRPr="002C5E32">
        <w:t xml:space="preserve"> theories have been empirically validated as effective when working with LGBTQ+ individuals. These theories have demonstrated their ability to address the unique needs and challenges faced by the LGBTQ+ community, promoting positive outcomes and improved mental well-being.</w:t>
      </w:r>
    </w:p>
    <w:p w14:paraId="03C04E63" w14:textId="48706672" w:rsidR="002C5E32" w:rsidRPr="00046B8D" w:rsidRDefault="002C5E32" w:rsidP="00046B8D">
      <w:pPr>
        <w:ind w:firstLine="0"/>
      </w:pPr>
      <w:r>
        <w:tab/>
      </w:r>
      <w:r>
        <w:rPr>
          <w:b/>
          <w:i/>
        </w:rPr>
        <w:t xml:space="preserve">Person-Centered Counseling Theory: </w:t>
      </w:r>
      <w:r w:rsidRPr="002C5E32">
        <w:t>The Person-Centered approach emphasizes empathy, acceptance, and creating a safe and supportive therapeutic environment, which is particularly valuable for LGBTQ+ individuals seeking validation and understanding</w:t>
      </w:r>
      <w:r>
        <w:t xml:space="preserve"> (</w:t>
      </w:r>
      <w:r w:rsidR="00046B8D">
        <w:t xml:space="preserve">Hays &amp; </w:t>
      </w:r>
      <w:r w:rsidR="00046B8D">
        <w:lastRenderedPageBreak/>
        <w:t>Erford, 2023</w:t>
      </w:r>
      <w:r>
        <w:t>)</w:t>
      </w:r>
      <w:r w:rsidRPr="002C5E32">
        <w:t>.</w:t>
      </w:r>
      <w:r w:rsidR="00046B8D">
        <w:t xml:space="preserve"> </w:t>
      </w:r>
      <w:r w:rsidR="00046B8D" w:rsidRPr="00046B8D">
        <w:t>Recent research highlights the potential effectiveness of Person-centered therapy, particularly when working with transgender clients, owing to its capacity to excel in cases involving those who deviate from conventional societal norms</w:t>
      </w:r>
      <w:r w:rsidR="00046B8D">
        <w:t xml:space="preserve"> (Knutson &amp; Koch, 2022)</w:t>
      </w:r>
      <w:r w:rsidR="00046B8D" w:rsidRPr="00046B8D">
        <w:t>. Additionally, the approach is recommended for addressing conflicts within individuals or groups, where there exists a disparity between an individual's true identity and the values they have internalized from others or society</w:t>
      </w:r>
      <w:r w:rsidR="00046B8D">
        <w:t xml:space="preserve"> (Knutson &amp; Koch, 2022)</w:t>
      </w:r>
      <w:r w:rsidR="00046B8D" w:rsidRPr="00046B8D">
        <w:t>. Central to the Person-centered theory is the portrayal of individuals as unified and complete entities, rather than fragmented amalgamations of intersecting identities.</w:t>
      </w:r>
    </w:p>
    <w:p w14:paraId="699B1022" w14:textId="2AF73C89" w:rsidR="002C5E32" w:rsidRDefault="002C5E32" w:rsidP="002C5E32">
      <w:pPr>
        <w:ind w:firstLine="0"/>
      </w:pPr>
      <w:r>
        <w:rPr>
          <w:b/>
          <w:i/>
        </w:rPr>
        <w:tab/>
        <w:t>Cognitive-Behavioral Counseling Theory:</w:t>
      </w:r>
      <w:r w:rsidR="007C356F">
        <w:t xml:space="preserve"> </w:t>
      </w:r>
      <w:r w:rsidR="00CD76AA">
        <w:t>Cognitive-Behavioral T</w:t>
      </w:r>
      <w:r w:rsidRPr="002C5E32">
        <w:t>herapy offers practical strategies to address specific concerns, such as anxiety, depression, or coping with stigma and discrimination, aligning well with the LGBTQ+ community's diverse mental health needs</w:t>
      </w:r>
      <w:r>
        <w:t xml:space="preserve"> (Craig et al, 2021)</w:t>
      </w:r>
      <w:r w:rsidRPr="002C5E32">
        <w:t>.</w:t>
      </w:r>
      <w:r w:rsidR="00693E92">
        <w:t xml:space="preserve"> </w:t>
      </w:r>
      <w:r w:rsidR="007C356F">
        <w:t>Research indicates affi</w:t>
      </w:r>
      <w:r w:rsidR="00CD76AA" w:rsidRPr="00CD76AA">
        <w:t>rmative cognitiv</w:t>
      </w:r>
      <w:r w:rsidR="00CD76AA">
        <w:t>e behavioral therapy (CBT) shows</w:t>
      </w:r>
      <w:r w:rsidR="00CD76AA" w:rsidRPr="00CD76AA">
        <w:t xml:space="preserve"> potential in addressing elevated psychosocial distress among </w:t>
      </w:r>
      <w:r w:rsidR="00CD76AA">
        <w:t xml:space="preserve">young gay and bisexual men and sexual gender minority adolescents and young adults (SGMY) </w:t>
      </w:r>
      <w:r w:rsidR="00CD76AA" w:rsidRPr="00CD76AA">
        <w:t>aged 15–18</w:t>
      </w:r>
      <w:r w:rsidR="00CD76AA">
        <w:t xml:space="preserve"> (Craig et al, 2021)</w:t>
      </w:r>
      <w:r w:rsidR="00CD76AA" w:rsidRPr="00CD76AA">
        <w:t>. By validating stigmatized identities and targeting cognitive, affective, and behavioral processes, such as through the ESTEEM CBT curriculum, depressive symptoms were significantly reduced (d = 0.55) among gay and bisexual men aged 18–35</w:t>
      </w:r>
      <w:r w:rsidR="00CD76AA">
        <w:t xml:space="preserve"> (Craig et al, 2021)</w:t>
      </w:r>
      <w:r w:rsidR="00CD76AA" w:rsidRPr="00CD76AA">
        <w:t>. Affirmative CBT equips SGMY with SGM-specific intervention skills, enabling them to assess stress impact on well-being and alleviate self-blame and stigma-related shame, effectively addressing depression and psychological distress</w:t>
      </w:r>
      <w:r w:rsidR="00CD76AA">
        <w:t xml:space="preserve"> (Craig et al, 2021)</w:t>
      </w:r>
      <w:r w:rsidR="00CD76AA" w:rsidRPr="00CD76AA">
        <w:t>.</w:t>
      </w:r>
    </w:p>
    <w:p w14:paraId="69DA2118" w14:textId="642872FE" w:rsidR="007C356F" w:rsidRPr="002C5E32" w:rsidRDefault="007C356F" w:rsidP="002C5E32">
      <w:pPr>
        <w:ind w:firstLine="0"/>
      </w:pPr>
      <w:r>
        <w:tab/>
      </w:r>
      <w:r w:rsidRPr="007C356F">
        <w:t>In conclusion, Person-Centered therapy offers a safe and validating environment, particularly beneficial for those seeking understanding and acceptance</w:t>
      </w:r>
      <w:r w:rsidR="00F02F0B">
        <w:t xml:space="preserve"> (Knutson &amp; Koch, 2022)</w:t>
      </w:r>
      <w:r w:rsidRPr="007C356F">
        <w:t xml:space="preserve">. Its value is highlighted in supporting transgender clients and addressing internal conflicts. On the </w:t>
      </w:r>
      <w:r w:rsidR="00F02F0B" w:rsidRPr="007C356F">
        <w:lastRenderedPageBreak/>
        <w:t>other</w:t>
      </w:r>
      <w:r w:rsidR="00F02F0B">
        <w:t xml:space="preserve"> hand</w:t>
      </w:r>
      <w:r w:rsidR="00D03CF9">
        <w:t>,</w:t>
      </w:r>
      <w:r w:rsidR="00F02F0B">
        <w:t xml:space="preserve"> </w:t>
      </w:r>
      <w:r w:rsidRPr="007C356F">
        <w:t>Affirmative CBT</w:t>
      </w:r>
      <w:r w:rsidR="00F02F0B">
        <w:t xml:space="preserve"> </w:t>
      </w:r>
      <w:r w:rsidRPr="007C356F">
        <w:t>shows promise in alleviating depression and stigma-related shame among young gay and bisexual men and SGMY, enhancing their mental health outcomes</w:t>
      </w:r>
      <w:r>
        <w:t xml:space="preserve"> (Craig et al, 2021)</w:t>
      </w:r>
      <w:r w:rsidRPr="007C356F">
        <w:t>.</w:t>
      </w:r>
    </w:p>
    <w:p w14:paraId="254DFD8B" w14:textId="3D9B0523" w:rsidR="000C2C81" w:rsidRDefault="000C2C81" w:rsidP="000C2C81">
      <w:pPr>
        <w:ind w:firstLine="0"/>
        <w:jc w:val="center"/>
        <w:rPr>
          <w:b/>
        </w:rPr>
      </w:pPr>
      <w:r>
        <w:rPr>
          <w:b/>
        </w:rPr>
        <w:t>Conclusion</w:t>
      </w:r>
    </w:p>
    <w:p w14:paraId="1E4DD3A0" w14:textId="310361A3" w:rsidR="00D03CF9" w:rsidRPr="00D03CF9" w:rsidRDefault="00D03CF9" w:rsidP="00D03CF9">
      <w:pPr>
        <w:ind w:firstLine="0"/>
        <w:rPr>
          <w:bCs/>
        </w:rPr>
      </w:pPr>
      <w:r>
        <w:rPr>
          <w:b/>
        </w:rPr>
        <w:tab/>
      </w:r>
      <w:r>
        <w:rPr>
          <w:bCs/>
        </w:rPr>
        <w:t>In this research, I’ve explored the dimensions of the LGBTQ+ community, embracing inter-group and intra-group characteristics, attitudes, values, customs, practices, and behaviors. I’ve also observed how key historical events and figures have shaped cultural and societal perceptions.</w:t>
      </w:r>
      <w:r w:rsidR="00703EDE">
        <w:rPr>
          <w:bCs/>
        </w:rPr>
        <w:t xml:space="preserve"> </w:t>
      </w:r>
      <w:r w:rsidR="00E83902">
        <w:rPr>
          <w:bCs/>
        </w:rPr>
        <w:t>Through p</w:t>
      </w:r>
      <w:r w:rsidR="00703EDE">
        <w:rPr>
          <w:bCs/>
        </w:rPr>
        <w:t xml:space="preserve">ersonal engagement </w:t>
      </w:r>
      <w:r w:rsidR="00E83902">
        <w:rPr>
          <w:bCs/>
        </w:rPr>
        <w:t>I witnessed</w:t>
      </w:r>
      <w:r w:rsidR="00703EDE">
        <w:rPr>
          <w:bCs/>
        </w:rPr>
        <w:t xml:space="preserve"> the transformative power of connection and understanding, teaching lessons beyond research. </w:t>
      </w:r>
      <w:r w:rsidR="00E83902">
        <w:rPr>
          <w:bCs/>
        </w:rPr>
        <w:t>In exploring c</w:t>
      </w:r>
      <w:r w:rsidR="00703EDE">
        <w:rPr>
          <w:bCs/>
        </w:rPr>
        <w:t xml:space="preserve">ounseling theories, </w:t>
      </w:r>
      <w:r w:rsidR="00E83902">
        <w:rPr>
          <w:bCs/>
        </w:rPr>
        <w:t>I found</w:t>
      </w:r>
      <w:r w:rsidR="00703EDE">
        <w:rPr>
          <w:bCs/>
        </w:rPr>
        <w:t xml:space="preserve"> Person-Centered and Cognitive-Behavioral approaches, </w:t>
      </w:r>
      <w:r w:rsidR="00E83902">
        <w:rPr>
          <w:bCs/>
        </w:rPr>
        <w:t>to be empirically valid tools</w:t>
      </w:r>
      <w:r w:rsidR="00703EDE">
        <w:rPr>
          <w:bCs/>
        </w:rPr>
        <w:t xml:space="preserve"> for promoting mental well-being among LGBTQ+ individuals</w:t>
      </w:r>
      <w:r w:rsidR="00E83902">
        <w:rPr>
          <w:bCs/>
        </w:rPr>
        <w:t>.</w:t>
      </w:r>
    </w:p>
    <w:p w14:paraId="7F20DB77" w14:textId="77777777" w:rsidR="000C2C81" w:rsidRDefault="000C2C81" w:rsidP="000C2C81">
      <w:pPr>
        <w:ind w:firstLine="0"/>
        <w:rPr>
          <w:b/>
        </w:rPr>
      </w:pPr>
    </w:p>
    <w:p w14:paraId="0E520162" w14:textId="77777777" w:rsidR="0032101A" w:rsidRPr="0032101A" w:rsidRDefault="0032101A" w:rsidP="0032101A">
      <w:pPr>
        <w:ind w:firstLine="0"/>
      </w:pPr>
    </w:p>
    <w:p w14:paraId="6B796516" w14:textId="77777777" w:rsidR="00434917" w:rsidRPr="0032101A" w:rsidRDefault="00434917" w:rsidP="0032101A">
      <w:pPr>
        <w:jc w:val="center"/>
        <w:rPr>
          <w:rFonts w:asciiTheme="majorHAnsi" w:eastAsiaTheme="majorEastAsia" w:hAnsiTheme="majorHAnsi" w:cstheme="majorBidi"/>
          <w:b/>
          <w:bCs/>
        </w:rPr>
      </w:pPr>
      <w:r>
        <w:br w:type="page"/>
      </w:r>
    </w:p>
    <w:p w14:paraId="3893FB99" w14:textId="4C3155BE" w:rsidR="00E81978" w:rsidRDefault="00365FDC" w:rsidP="00365FDC">
      <w:pPr>
        <w:pStyle w:val="Heading1"/>
      </w:pPr>
      <w:r>
        <w:lastRenderedPageBreak/>
        <w:t>References</w:t>
      </w:r>
    </w:p>
    <w:p w14:paraId="1BB33763" w14:textId="28AFEC01" w:rsidR="000E4F7D" w:rsidRDefault="000E4F7D" w:rsidP="000E4F7D">
      <w:pPr>
        <w:ind w:firstLine="0"/>
      </w:pPr>
      <w:r>
        <w:t xml:space="preserve">American Bar Association. (2022, July 5). A Brief History of the Path to Securing LGBTQ </w:t>
      </w:r>
    </w:p>
    <w:p w14:paraId="7FFDB621" w14:textId="36D1AA91" w:rsidR="000E4F7D" w:rsidRDefault="000E4F7D" w:rsidP="000E4F7D">
      <w:pPr>
        <w:ind w:left="720" w:firstLine="0"/>
      </w:pPr>
      <w:r>
        <w:t xml:space="preserve">Rights. </w:t>
      </w:r>
      <w:r>
        <w:rPr>
          <w:i/>
        </w:rPr>
        <w:t xml:space="preserve">Human Rights. </w:t>
      </w:r>
      <w:r>
        <w:t xml:space="preserve">Retrieved from </w:t>
      </w:r>
      <w:hyperlink r:id="rId8" w:history="1">
        <w:r w:rsidRPr="00681D68">
          <w:rPr>
            <w:rStyle w:val="Hyperlink"/>
          </w:rPr>
          <w:t>https://www.americanbar.org/groups/crsj/publiccations/human_rights_magazine_home/intersection-of-lgbtq-rights-and-religious-freedom/lgbtq-inclusive-curriculum-as-a-path-to-better-public-health/</w:t>
        </w:r>
      </w:hyperlink>
    </w:p>
    <w:p w14:paraId="075B5246" w14:textId="25342B13" w:rsidR="000E4F7D" w:rsidRDefault="000E4F7D" w:rsidP="000E4F7D">
      <w:pPr>
        <w:ind w:firstLine="0"/>
      </w:pPr>
      <w:r>
        <w:t xml:space="preserve">Andrew, S. (2023, April 29). The US Has a Rich Drag History: Here’s Why the Art Form Will </w:t>
      </w:r>
    </w:p>
    <w:p w14:paraId="5D65345E" w14:textId="311936AD" w:rsidR="000E4F7D" w:rsidRDefault="000E4F7D" w:rsidP="000E4F7D">
      <w:pPr>
        <w:ind w:firstLine="0"/>
      </w:pPr>
      <w:r>
        <w:tab/>
        <w:t xml:space="preserve">Likely Outlast Attempts to Restrict It. </w:t>
      </w:r>
      <w:r>
        <w:rPr>
          <w:i/>
        </w:rPr>
        <w:t xml:space="preserve">CNN. </w:t>
      </w:r>
      <w:r>
        <w:t xml:space="preserve">Retrieved from </w:t>
      </w:r>
    </w:p>
    <w:p w14:paraId="2219E7A1" w14:textId="0874334D" w:rsidR="000E4F7D" w:rsidRDefault="000E4F7D" w:rsidP="00AB65CF">
      <w:pPr>
        <w:ind w:firstLine="0"/>
      </w:pPr>
      <w:r>
        <w:tab/>
      </w:r>
      <w:hyperlink r:id="rId9" w:history="1">
        <w:r w:rsidRPr="00681D68">
          <w:rPr>
            <w:rStyle w:val="Hyperlink"/>
          </w:rPr>
          <w:t>https://cnn.com/style/article/drag-queen-us-history-explainer-cec/index.html</w:t>
        </w:r>
      </w:hyperlink>
      <w:r>
        <w:t xml:space="preserve"> </w:t>
      </w:r>
    </w:p>
    <w:p w14:paraId="37847600" w14:textId="491EE5D4" w:rsidR="000B0BCF" w:rsidRDefault="000B0BCF" w:rsidP="000B0BCF">
      <w:pPr>
        <w:ind w:firstLine="0"/>
      </w:pPr>
      <w:r>
        <w:t xml:space="preserve">CDC. (2022, Aug 1). Creating Safe Spaces and Empowering Students. Retrieved from </w:t>
      </w:r>
    </w:p>
    <w:p w14:paraId="4163C61D" w14:textId="1FCEFE5E" w:rsidR="000B0BCF" w:rsidRDefault="000B0BCF" w:rsidP="000B0BCF">
      <w:pPr>
        <w:ind w:firstLine="0"/>
      </w:pPr>
      <w:r>
        <w:tab/>
      </w:r>
      <w:hyperlink r:id="rId10" w:history="1">
        <w:r w:rsidRPr="00681D68">
          <w:rPr>
            <w:rStyle w:val="Hyperlink"/>
          </w:rPr>
          <w:t>https://www.cdc.gov/healthyyouth/stories/aps_nm.htm</w:t>
        </w:r>
      </w:hyperlink>
      <w:r>
        <w:t xml:space="preserve"> </w:t>
      </w:r>
    </w:p>
    <w:p w14:paraId="6301285A" w14:textId="67A06255" w:rsidR="000B0BCF" w:rsidRDefault="000B0BCF" w:rsidP="000B0BCF">
      <w:pPr>
        <w:ind w:firstLine="0"/>
      </w:pPr>
      <w:r>
        <w:t>Craig, S.L., Eaton, A.D., Leung, V.W.Y., Iacono, G., Pong, N., Dillon, F., Austin, A., Pascoe, R.,</w:t>
      </w:r>
    </w:p>
    <w:p w14:paraId="0EE937EA" w14:textId="739C90EB" w:rsidR="000B0BCF" w:rsidRDefault="000B0BCF" w:rsidP="000B0BCF">
      <w:pPr>
        <w:ind w:firstLine="0"/>
      </w:pPr>
      <w:r>
        <w:tab/>
        <w:t xml:space="preserve">and Dobinson, C. (2021). Efficacy of Affirmative Cognitive Behavioral Group Therapy  </w:t>
      </w:r>
    </w:p>
    <w:p w14:paraId="58707CC8" w14:textId="23050C34" w:rsidR="000B0BCF" w:rsidRDefault="000B0BCF" w:rsidP="000B0BCF">
      <w:pPr>
        <w:ind w:firstLine="0"/>
      </w:pPr>
      <w:r>
        <w:tab/>
        <w:t>for Sexual and Gender Minority Adolescents and Young Adults in Community Settings in</w:t>
      </w:r>
    </w:p>
    <w:p w14:paraId="13B1DFB0" w14:textId="3903B661" w:rsidR="000B0BCF" w:rsidRDefault="000B0BCF" w:rsidP="000B0BCF">
      <w:pPr>
        <w:ind w:firstLine="0"/>
      </w:pPr>
      <w:r>
        <w:tab/>
        <w:t xml:space="preserve">Ontario, Canada. </w:t>
      </w:r>
      <w:r>
        <w:rPr>
          <w:i/>
        </w:rPr>
        <w:t xml:space="preserve">BMC Psychol. </w:t>
      </w:r>
      <w:r>
        <w:t>9, 94. Retrieved from</w:t>
      </w:r>
    </w:p>
    <w:p w14:paraId="5E787995" w14:textId="63627E95" w:rsidR="000B0BCF" w:rsidRDefault="000B0BCF" w:rsidP="000B0BCF">
      <w:pPr>
        <w:ind w:firstLine="0"/>
      </w:pPr>
      <w:r>
        <w:tab/>
      </w:r>
      <w:hyperlink r:id="rId11" w:history="1">
        <w:r w:rsidRPr="00681D68">
          <w:rPr>
            <w:rStyle w:val="Hyperlink"/>
          </w:rPr>
          <w:t>https://doi.org/10.1186/s40359-021-00595-6</w:t>
        </w:r>
      </w:hyperlink>
      <w:r>
        <w:t xml:space="preserve"> </w:t>
      </w:r>
    </w:p>
    <w:p w14:paraId="549F032D" w14:textId="3E836C2B" w:rsidR="00596949" w:rsidRDefault="00596949" w:rsidP="000B0BCF">
      <w:pPr>
        <w:ind w:firstLine="0"/>
        <w:rPr>
          <w:i/>
        </w:rPr>
      </w:pPr>
      <w:r>
        <w:t xml:space="preserve">Halkitis, P. N. (2019). The Stonewall Riots, the AIDS Epidemic, and the Public’s Health. </w:t>
      </w:r>
    </w:p>
    <w:p w14:paraId="52D973AE" w14:textId="475826CD" w:rsidR="00596949" w:rsidRDefault="00596949" w:rsidP="000B0BCF">
      <w:pPr>
        <w:ind w:firstLine="0"/>
      </w:pPr>
      <w:r>
        <w:rPr>
          <w:i/>
        </w:rPr>
        <w:tab/>
        <w:t xml:space="preserve">American Journal of Public Health. </w:t>
      </w:r>
      <w:r>
        <w:t>109(6), 851-852. Retrieved from</w:t>
      </w:r>
    </w:p>
    <w:p w14:paraId="1BD55EBE" w14:textId="6266578F" w:rsidR="00596949" w:rsidRDefault="00596949" w:rsidP="000B0BCF">
      <w:pPr>
        <w:ind w:firstLine="0"/>
      </w:pPr>
      <w:r>
        <w:tab/>
      </w:r>
      <w:hyperlink r:id="rId12" w:history="1">
        <w:r w:rsidRPr="00681D68">
          <w:rPr>
            <w:rStyle w:val="Hyperlink"/>
          </w:rPr>
          <w:t>https://doi.org/10.2105/AJPH.2019.305079</w:t>
        </w:r>
      </w:hyperlink>
      <w:r>
        <w:t xml:space="preserve"> </w:t>
      </w:r>
    </w:p>
    <w:p w14:paraId="0B39F021" w14:textId="1E67A0AA" w:rsidR="00596949" w:rsidRDefault="00596949" w:rsidP="000B0BCF">
      <w:pPr>
        <w:ind w:firstLine="0"/>
      </w:pPr>
      <w:r>
        <w:t xml:space="preserve">Hays, D.G., and Erford, B.T. (2023). </w:t>
      </w:r>
      <w:r>
        <w:rPr>
          <w:i/>
        </w:rPr>
        <w:t xml:space="preserve">Developing Multicultural Counseling Competency. </w:t>
      </w:r>
      <w:r>
        <w:t xml:space="preserve">Pearson </w:t>
      </w:r>
    </w:p>
    <w:p w14:paraId="088B5840" w14:textId="3E7F0179" w:rsidR="00596949" w:rsidRDefault="00596949" w:rsidP="000B0BCF">
      <w:pPr>
        <w:ind w:firstLine="0"/>
      </w:pPr>
      <w:r>
        <w:tab/>
        <w:t>Education, Inc</w:t>
      </w:r>
    </w:p>
    <w:p w14:paraId="2968514E" w14:textId="153517D0" w:rsidR="00596949" w:rsidRDefault="00596949" w:rsidP="000B0BCF">
      <w:pPr>
        <w:ind w:firstLine="0"/>
      </w:pPr>
      <w:r>
        <w:t xml:space="preserve">Knutson, D., &amp; Koch, J.M. (2022). Person-Centered Therapy as Applied to Work with </w:t>
      </w:r>
    </w:p>
    <w:p w14:paraId="30DF3432" w14:textId="008E7B98" w:rsidR="00596949" w:rsidRDefault="00596949" w:rsidP="000B0BCF">
      <w:pPr>
        <w:ind w:firstLine="0"/>
      </w:pPr>
      <w:r>
        <w:tab/>
        <w:t xml:space="preserve">Transgender and Gender Diverse Clients. </w:t>
      </w:r>
      <w:r>
        <w:rPr>
          <w:i/>
        </w:rPr>
        <w:t xml:space="preserve">Journal of Humanistic Psychology, </w:t>
      </w:r>
      <w:r>
        <w:t xml:space="preserve">62(1), </w:t>
      </w:r>
    </w:p>
    <w:p w14:paraId="75281A2F" w14:textId="6F5AD320" w:rsidR="00596949" w:rsidRDefault="00596949" w:rsidP="000B0BCF">
      <w:pPr>
        <w:ind w:firstLine="0"/>
      </w:pPr>
      <w:r>
        <w:lastRenderedPageBreak/>
        <w:tab/>
        <w:t xml:space="preserve">104-122. Retrieved from </w:t>
      </w:r>
      <w:hyperlink r:id="rId13" w:history="1">
        <w:r w:rsidRPr="00681D68">
          <w:rPr>
            <w:rStyle w:val="Hyperlink"/>
          </w:rPr>
          <w:t>https://doi.org/10.1177/0022167818791082</w:t>
        </w:r>
      </w:hyperlink>
      <w:r>
        <w:t xml:space="preserve"> </w:t>
      </w:r>
    </w:p>
    <w:p w14:paraId="0A6270A8" w14:textId="0FFFD0A1" w:rsidR="00596949" w:rsidRDefault="00596949" w:rsidP="000B0BCF">
      <w:pPr>
        <w:ind w:firstLine="0"/>
      </w:pPr>
      <w:r>
        <w:t>McConnel, E.A., Janulis, P., Phillips, G., 2</w:t>
      </w:r>
      <w:r w:rsidRPr="00596949">
        <w:rPr>
          <w:vertAlign w:val="superscript"/>
        </w:rPr>
        <w:t>nd</w:t>
      </w:r>
      <w:r>
        <w:t>, Truong, R. and Brickett, M. (2018). Multiple</w:t>
      </w:r>
    </w:p>
    <w:p w14:paraId="63F360AA" w14:textId="2C6478E3" w:rsidR="00596949" w:rsidRDefault="00596949" w:rsidP="000B0BCF">
      <w:pPr>
        <w:ind w:firstLine="0"/>
      </w:pPr>
      <w:r>
        <w:tab/>
        <w:t xml:space="preserve">Minority Stress and LGBTQ Community Resilience Among Sexual Minority Men. </w:t>
      </w:r>
    </w:p>
    <w:p w14:paraId="257E6AEB" w14:textId="27705264" w:rsidR="00596949" w:rsidRDefault="00596949" w:rsidP="000B0BCF">
      <w:pPr>
        <w:ind w:firstLine="0"/>
      </w:pPr>
      <w:r>
        <w:tab/>
      </w:r>
      <w:r>
        <w:rPr>
          <w:i/>
        </w:rPr>
        <w:t>Psychology of Sexual Orientation</w:t>
      </w:r>
      <w:r w:rsidR="00312CE7">
        <w:rPr>
          <w:i/>
        </w:rPr>
        <w:t xml:space="preserve"> and Gender Diversity, </w:t>
      </w:r>
      <w:r w:rsidR="00312CE7">
        <w:t>5(1), 1-12. Retrieved from</w:t>
      </w:r>
    </w:p>
    <w:p w14:paraId="1B159C93" w14:textId="03A6E23B" w:rsidR="00312CE7" w:rsidRDefault="00312CE7" w:rsidP="000B0BCF">
      <w:pPr>
        <w:ind w:firstLine="0"/>
      </w:pPr>
      <w:r>
        <w:tab/>
      </w:r>
      <w:hyperlink r:id="rId14" w:history="1">
        <w:r w:rsidRPr="00681D68">
          <w:rPr>
            <w:rStyle w:val="Hyperlink"/>
          </w:rPr>
          <w:t>https://doi.org/10.1037/sgd0000265</w:t>
        </w:r>
      </w:hyperlink>
      <w:r>
        <w:t xml:space="preserve"> </w:t>
      </w:r>
    </w:p>
    <w:p w14:paraId="34419B3F" w14:textId="687FF769" w:rsidR="00312CE7" w:rsidRDefault="00312CE7" w:rsidP="000B0BCF">
      <w:pPr>
        <w:ind w:firstLine="0"/>
      </w:pPr>
      <w:r>
        <w:t xml:space="preserve">Metcalf, M. (n.d.). The History of Pride. </w:t>
      </w:r>
      <w:r>
        <w:rPr>
          <w:i/>
        </w:rPr>
        <w:t xml:space="preserve">Library of Congress. </w:t>
      </w:r>
      <w:r>
        <w:t xml:space="preserve">Retrieved from </w:t>
      </w:r>
    </w:p>
    <w:p w14:paraId="10435F4C" w14:textId="72C2509C" w:rsidR="00312CE7" w:rsidRDefault="00DF7E48" w:rsidP="00312CE7">
      <w:pPr>
        <w:ind w:left="720" w:firstLine="0"/>
      </w:pPr>
      <w:hyperlink r:id="rId15" w:history="1">
        <w:r w:rsidR="00312CE7" w:rsidRPr="00681D68">
          <w:rPr>
            <w:rStyle w:val="Hyperlink"/>
          </w:rPr>
          <w:t>https://www.loc.gov/ghe/cascade/index.html?appid=90dcc35abb714a24914c68c9654adb67</w:t>
        </w:r>
      </w:hyperlink>
      <w:r w:rsidR="00312CE7">
        <w:t xml:space="preserve"> </w:t>
      </w:r>
    </w:p>
    <w:p w14:paraId="239B5A53" w14:textId="239C59ED" w:rsidR="00312CE7" w:rsidRDefault="00312CE7" w:rsidP="00312CE7">
      <w:pPr>
        <w:ind w:firstLine="0"/>
      </w:pPr>
      <w:r>
        <w:t xml:space="preserve">Moagi, M.M., Van Der Wath, A.E., Jiyane, P.M., and Rikhotso, R.S. (2021). Mental Health </w:t>
      </w:r>
    </w:p>
    <w:p w14:paraId="40328C6D" w14:textId="5D215829" w:rsidR="00312CE7" w:rsidRDefault="00312CE7" w:rsidP="00312CE7">
      <w:pPr>
        <w:ind w:firstLine="0"/>
      </w:pPr>
      <w:r>
        <w:tab/>
        <w:t xml:space="preserve">Challenges of Lesbian, Gay, Bisexual, and Transgender People: An integrated Literature  </w:t>
      </w:r>
    </w:p>
    <w:p w14:paraId="634013F4" w14:textId="4030045D" w:rsidR="00312CE7" w:rsidRDefault="00312CE7" w:rsidP="00312CE7">
      <w:pPr>
        <w:ind w:firstLine="0"/>
      </w:pPr>
      <w:r>
        <w:tab/>
        <w:t xml:space="preserve">Review. </w:t>
      </w:r>
      <w:r>
        <w:rPr>
          <w:i/>
        </w:rPr>
        <w:t xml:space="preserve">Health SA=SA Gesondheid, </w:t>
      </w:r>
      <w:r>
        <w:t xml:space="preserve">26,1487. Retrieved from </w:t>
      </w:r>
    </w:p>
    <w:p w14:paraId="0D24335D" w14:textId="257706C2" w:rsidR="00312CE7" w:rsidRDefault="00312CE7" w:rsidP="00312CE7">
      <w:pPr>
        <w:ind w:firstLine="0"/>
      </w:pPr>
      <w:r>
        <w:tab/>
      </w:r>
      <w:hyperlink r:id="rId16" w:history="1">
        <w:r w:rsidRPr="00681D68">
          <w:rPr>
            <w:rStyle w:val="Hyperlink"/>
          </w:rPr>
          <w:t>https://doi.org/10.4102/hsag.v26i0.1487</w:t>
        </w:r>
      </w:hyperlink>
      <w:r>
        <w:t xml:space="preserve"> </w:t>
      </w:r>
    </w:p>
    <w:p w14:paraId="624B0AF4" w14:textId="28682F9F" w:rsidR="00312CE7" w:rsidRDefault="00312CE7" w:rsidP="00312CE7">
      <w:pPr>
        <w:ind w:firstLine="0"/>
      </w:pPr>
      <w:r>
        <w:t xml:space="preserve">National Education Association. (2022, Oct 5). </w:t>
      </w:r>
      <w:r>
        <w:rPr>
          <w:i/>
        </w:rPr>
        <w:t xml:space="preserve">Why Pronouns Matter. </w:t>
      </w:r>
      <w:r>
        <w:t xml:space="preserve">Retrieved from </w:t>
      </w:r>
    </w:p>
    <w:p w14:paraId="3FF7BEE1" w14:textId="0743DC6C" w:rsidR="00312CE7" w:rsidRDefault="00312CE7" w:rsidP="00312CE7">
      <w:pPr>
        <w:ind w:firstLine="0"/>
      </w:pPr>
      <w:r>
        <w:tab/>
      </w:r>
      <w:hyperlink r:id="rId17" w:history="1">
        <w:r w:rsidRPr="00681D68">
          <w:rPr>
            <w:rStyle w:val="Hyperlink"/>
          </w:rPr>
          <w:t>https://www.nea.org/advocating-for-change/new-from-new/why-pronouns-matter</w:t>
        </w:r>
      </w:hyperlink>
      <w:r>
        <w:t xml:space="preserve"> </w:t>
      </w:r>
    </w:p>
    <w:p w14:paraId="516BCFAF" w14:textId="17BE8835" w:rsidR="00312CE7" w:rsidRDefault="00613F51" w:rsidP="00312CE7">
      <w:pPr>
        <w:ind w:firstLine="0"/>
      </w:pPr>
      <w:r>
        <w:t xml:space="preserve">Pew Research Center. (2020, May 30). </w:t>
      </w:r>
      <w:r>
        <w:rPr>
          <w:i/>
        </w:rPr>
        <w:t xml:space="preserve">A Survey of LGBTQ Americans. </w:t>
      </w:r>
      <w:r>
        <w:t>Retrieved from</w:t>
      </w:r>
    </w:p>
    <w:p w14:paraId="037C21DD" w14:textId="28FA6AFF" w:rsidR="00613F51" w:rsidRDefault="00613F51" w:rsidP="00312CE7">
      <w:pPr>
        <w:ind w:firstLine="0"/>
      </w:pPr>
      <w:r>
        <w:tab/>
      </w:r>
      <w:hyperlink r:id="rId18" w:history="1">
        <w:r w:rsidR="006A1922" w:rsidRPr="00681D68">
          <w:rPr>
            <w:rStyle w:val="Hyperlink"/>
          </w:rPr>
          <w:t>https://pewresearch.org/social-trends/2013/06/13/a-survey-of-lgbtq-americans/</w:t>
        </w:r>
      </w:hyperlink>
      <w:r w:rsidR="006A1922">
        <w:t xml:space="preserve"> </w:t>
      </w:r>
    </w:p>
    <w:p w14:paraId="29E782E4" w14:textId="317FBB90" w:rsidR="006A1922" w:rsidRDefault="006A1922" w:rsidP="00312CE7">
      <w:pPr>
        <w:ind w:firstLine="0"/>
      </w:pPr>
      <w:r w:rsidRPr="006A1922">
        <w:rPr>
          <w:i/>
        </w:rPr>
        <w:t>PRIDE Values</w:t>
      </w:r>
      <w:r>
        <w:t xml:space="preserve">. (n.d.-c). LGBTQ Resource Center. Retrieved from </w:t>
      </w:r>
    </w:p>
    <w:p w14:paraId="0C4B4DDF" w14:textId="5F4DBE3C" w:rsidR="006A1922" w:rsidRDefault="006A1922" w:rsidP="00312CE7">
      <w:pPr>
        <w:ind w:firstLine="0"/>
      </w:pPr>
      <w:r>
        <w:tab/>
      </w:r>
      <w:hyperlink r:id="rId19" w:history="1">
        <w:r w:rsidRPr="00681D68">
          <w:rPr>
            <w:rStyle w:val="Hyperlink"/>
          </w:rPr>
          <w:t>https://lgbt.ucsf.edu/pride-values</w:t>
        </w:r>
      </w:hyperlink>
      <w:r>
        <w:t xml:space="preserve"> </w:t>
      </w:r>
    </w:p>
    <w:p w14:paraId="4487F90F" w14:textId="703D1F18" w:rsidR="006A1922" w:rsidRDefault="006A1922" w:rsidP="00312CE7">
      <w:pPr>
        <w:ind w:firstLine="0"/>
      </w:pPr>
      <w:r>
        <w:t>Ramos, N., Burgess, A., and Ollen, E. (2023). The Current Status of Sociopolitical and Legal</w:t>
      </w:r>
    </w:p>
    <w:p w14:paraId="73DEDCF8" w14:textId="518FE54B" w:rsidR="006A1922" w:rsidRDefault="006A1922" w:rsidP="00312CE7">
      <w:pPr>
        <w:ind w:firstLine="0"/>
      </w:pPr>
      <w:r>
        <w:tab/>
        <w:t xml:space="preserve">Issues Faced by Lesbian, Gay, Bisexual, Transgender, Queer, and Questioning Youth. </w:t>
      </w:r>
    </w:p>
    <w:p w14:paraId="185C5859" w14:textId="4649D49A" w:rsidR="006A1922" w:rsidRDefault="006A1922" w:rsidP="00312CE7">
      <w:pPr>
        <w:ind w:firstLine="0"/>
      </w:pPr>
      <w:r>
        <w:tab/>
      </w:r>
      <w:r>
        <w:rPr>
          <w:i/>
        </w:rPr>
        <w:t xml:space="preserve">Adolescent Psychiatry (Hilversum, Netherlands), </w:t>
      </w:r>
      <w:r>
        <w:t xml:space="preserve">12(3), 180-195. Retrieved from </w:t>
      </w:r>
    </w:p>
    <w:p w14:paraId="196DF1F0" w14:textId="340124FD" w:rsidR="006A1922" w:rsidRDefault="006A1922" w:rsidP="00312CE7">
      <w:pPr>
        <w:ind w:firstLine="0"/>
      </w:pPr>
      <w:r>
        <w:tab/>
      </w:r>
      <w:hyperlink r:id="rId20" w:history="1">
        <w:r w:rsidRPr="00681D68">
          <w:rPr>
            <w:rStyle w:val="Hyperlink"/>
          </w:rPr>
          <w:t>https://doi.org/10.2174/2210676611666211105120645</w:t>
        </w:r>
      </w:hyperlink>
      <w:r>
        <w:t xml:space="preserve"> </w:t>
      </w:r>
    </w:p>
    <w:p w14:paraId="2AF4C611" w14:textId="0FF0B231" w:rsidR="006A1922" w:rsidRDefault="006A1922" w:rsidP="00312CE7">
      <w:pPr>
        <w:ind w:firstLine="0"/>
      </w:pPr>
      <w:r>
        <w:t>Rand, J.J., Pacely, M.S., Fish, J.N., and Anderson, S.O. (2021). LGBTQ+ Inclusion and Support:</w:t>
      </w:r>
    </w:p>
    <w:p w14:paraId="1FF0C1A4" w14:textId="123579DD" w:rsidR="006A1922" w:rsidRDefault="006A1922" w:rsidP="00312CE7">
      <w:pPr>
        <w:ind w:firstLine="0"/>
        <w:rPr>
          <w:i/>
        </w:rPr>
      </w:pPr>
      <w:r>
        <w:lastRenderedPageBreak/>
        <w:tab/>
        <w:t xml:space="preserve">An Analysis of Challenges and Opportunites within 4-H. </w:t>
      </w:r>
      <w:r>
        <w:rPr>
          <w:i/>
        </w:rPr>
        <w:t>Journal of Youth Development</w:t>
      </w:r>
      <w:r w:rsidR="008C3A6F">
        <w:rPr>
          <w:i/>
        </w:rPr>
        <w:t>:</w:t>
      </w:r>
    </w:p>
    <w:p w14:paraId="2890C03E" w14:textId="66D64CB7" w:rsidR="008C3A6F" w:rsidRDefault="008C3A6F" w:rsidP="00312CE7">
      <w:pPr>
        <w:ind w:firstLine="0"/>
      </w:pPr>
      <w:r>
        <w:rPr>
          <w:i/>
        </w:rPr>
        <w:tab/>
        <w:t xml:space="preserve">Bridging Research and Practice, </w:t>
      </w:r>
      <w:r>
        <w:t xml:space="preserve">16(4), 26-51. Retrieved from                                        </w:t>
      </w:r>
    </w:p>
    <w:p w14:paraId="4649EAC9" w14:textId="072A4245" w:rsidR="008C3A6F" w:rsidRDefault="008C3A6F" w:rsidP="00312CE7">
      <w:pPr>
        <w:ind w:firstLine="0"/>
      </w:pPr>
      <w:r>
        <w:tab/>
      </w:r>
      <w:hyperlink r:id="rId21" w:history="1">
        <w:r w:rsidRPr="00681D68">
          <w:rPr>
            <w:rStyle w:val="Hyperlink"/>
          </w:rPr>
          <w:t>https://doi.org/10.5195/jyd.2021.1072</w:t>
        </w:r>
      </w:hyperlink>
      <w:r>
        <w:t xml:space="preserve"> </w:t>
      </w:r>
    </w:p>
    <w:p w14:paraId="7B3D079C" w14:textId="5817BB5A" w:rsidR="008C3A6F" w:rsidRDefault="008C3A6F" w:rsidP="00312CE7">
      <w:pPr>
        <w:ind w:firstLine="0"/>
      </w:pPr>
      <w:r>
        <w:t xml:space="preserve">The Trevor Project. (2023, July 18). </w:t>
      </w:r>
      <w:r>
        <w:rPr>
          <w:i/>
        </w:rPr>
        <w:t xml:space="preserve">The Coming Out Handbook| The Trevor Project. </w:t>
      </w:r>
      <w:r>
        <w:t xml:space="preserve">Retrieved </w:t>
      </w:r>
    </w:p>
    <w:p w14:paraId="217B624F" w14:textId="6C18D829" w:rsidR="008C3A6F" w:rsidRDefault="008C3A6F" w:rsidP="00312CE7">
      <w:pPr>
        <w:ind w:firstLine="0"/>
      </w:pPr>
      <w:r>
        <w:tab/>
        <w:t xml:space="preserve">From </w:t>
      </w:r>
      <w:hyperlink r:id="rId22" w:history="1">
        <w:r w:rsidRPr="00681D68">
          <w:rPr>
            <w:rStyle w:val="Hyperlink"/>
          </w:rPr>
          <w:t>https://www.thetrevorproject.org/resources/guide/the-coming-out-handbook/</w:t>
        </w:r>
      </w:hyperlink>
      <w:r>
        <w:t xml:space="preserve"> </w:t>
      </w:r>
    </w:p>
    <w:p w14:paraId="10299263" w14:textId="5014895B" w:rsidR="008C3A6F" w:rsidRDefault="008C3A6F" w:rsidP="00312CE7">
      <w:pPr>
        <w:ind w:firstLine="0"/>
        <w:rPr>
          <w:i/>
        </w:rPr>
      </w:pPr>
      <w:r>
        <w:t xml:space="preserve">Trispiotis, I., and Purhouse, C. (2021). Conversion Therapy as Disregarding Treatment. </w:t>
      </w:r>
      <w:r>
        <w:rPr>
          <w:i/>
        </w:rPr>
        <w:t>Oxford</w:t>
      </w:r>
    </w:p>
    <w:p w14:paraId="3EE65827" w14:textId="13A6D191" w:rsidR="008C3A6F" w:rsidRDefault="008C3A6F" w:rsidP="00312CE7">
      <w:pPr>
        <w:ind w:firstLine="0"/>
      </w:pPr>
      <w:r>
        <w:rPr>
          <w:i/>
        </w:rPr>
        <w:tab/>
        <w:t xml:space="preserve">Journal of Legal Studies, </w:t>
      </w:r>
      <w:r>
        <w:t xml:space="preserve">42(1), 104-132 Retrieved from </w:t>
      </w:r>
    </w:p>
    <w:p w14:paraId="01C260A0" w14:textId="75154963" w:rsidR="008C3A6F" w:rsidRDefault="008C3A6F" w:rsidP="00312CE7">
      <w:pPr>
        <w:ind w:firstLine="0"/>
      </w:pPr>
      <w:r>
        <w:tab/>
      </w:r>
      <w:hyperlink r:id="rId23" w:history="1">
        <w:r w:rsidRPr="00681D68">
          <w:rPr>
            <w:rStyle w:val="Hyperlink"/>
          </w:rPr>
          <w:t>https://doi.org/10.1093/ojls/gqab024</w:t>
        </w:r>
      </w:hyperlink>
      <w:r>
        <w:t xml:space="preserve"> </w:t>
      </w:r>
    </w:p>
    <w:p w14:paraId="4CAD5E8A" w14:textId="2B49D196" w:rsidR="008C3A6F" w:rsidRDefault="008C3A6F" w:rsidP="00312CE7">
      <w:pPr>
        <w:ind w:firstLine="0"/>
      </w:pPr>
      <w:r>
        <w:t>Weiss, J.T. (2003). GL vs BT: The Archeology of Biphobia and Transphobia Within the U.S. Gay</w:t>
      </w:r>
    </w:p>
    <w:p w14:paraId="49FA3591" w14:textId="2B8F1F85" w:rsidR="008C3A6F" w:rsidRDefault="008C3A6F" w:rsidP="00312CE7">
      <w:pPr>
        <w:ind w:firstLine="0"/>
      </w:pPr>
      <w:r>
        <w:tab/>
        <w:t xml:space="preserve">and Lesbian Community. </w:t>
      </w:r>
      <w:r>
        <w:rPr>
          <w:i/>
        </w:rPr>
        <w:t xml:space="preserve">Journal of Bisexuality, </w:t>
      </w:r>
      <w:r>
        <w:t>3(3-), 25-55. Retrieved from</w:t>
      </w:r>
    </w:p>
    <w:p w14:paraId="2CB8F3A1" w14:textId="1355E698" w:rsidR="008C3A6F" w:rsidRDefault="008C3A6F" w:rsidP="00312CE7">
      <w:pPr>
        <w:ind w:firstLine="0"/>
      </w:pPr>
      <w:r>
        <w:tab/>
      </w:r>
      <w:hyperlink r:id="rId24" w:history="1">
        <w:r w:rsidRPr="00681D68">
          <w:rPr>
            <w:rStyle w:val="Hyperlink"/>
          </w:rPr>
          <w:t>https://doi.org/10.1300/J159v03n03_02</w:t>
        </w:r>
      </w:hyperlink>
      <w:r>
        <w:t xml:space="preserve"> </w:t>
      </w:r>
    </w:p>
    <w:p w14:paraId="617C07DE" w14:textId="3B33AE8A" w:rsidR="008C3A6F" w:rsidRDefault="008C3A6F" w:rsidP="00312CE7">
      <w:pPr>
        <w:ind w:firstLine="0"/>
      </w:pPr>
      <w:r>
        <w:t>Weststrate, N.M., and McLean, K.G. (2023). “You Gotta Give Them Hope”:</w:t>
      </w:r>
      <w:r w:rsidR="0055314F">
        <w:t xml:space="preserve"> A Structural </w:t>
      </w:r>
    </w:p>
    <w:p w14:paraId="48BBA6F8" w14:textId="077129DE" w:rsidR="0055314F" w:rsidRDefault="0055314F" w:rsidP="00312CE7">
      <w:pPr>
        <w:ind w:firstLine="0"/>
      </w:pPr>
      <w:r>
        <w:tab/>
        <w:t xml:space="preserve">Psychobiography of Harvey Milk, (1930-1978). </w:t>
      </w:r>
      <w:r>
        <w:rPr>
          <w:i/>
        </w:rPr>
        <w:t xml:space="preserve">Journal of Personality, </w:t>
      </w:r>
      <w:r>
        <w:t>91(1), 105-119.</w:t>
      </w:r>
    </w:p>
    <w:p w14:paraId="1B5FEF09" w14:textId="61E8E9A5" w:rsidR="0055314F" w:rsidRPr="0055314F" w:rsidRDefault="0055314F" w:rsidP="00312CE7">
      <w:pPr>
        <w:ind w:firstLine="0"/>
      </w:pPr>
      <w:r>
        <w:tab/>
        <w:t xml:space="preserve">Retrieved from </w:t>
      </w:r>
      <w:hyperlink r:id="rId25" w:history="1">
        <w:r w:rsidRPr="00681D68">
          <w:rPr>
            <w:rStyle w:val="Hyperlink"/>
          </w:rPr>
          <w:t>https://doi.org/10.1111/jopy.12744</w:t>
        </w:r>
      </w:hyperlink>
      <w:r>
        <w:t xml:space="preserve"> </w:t>
      </w:r>
    </w:p>
    <w:p w14:paraId="2ABB6104" w14:textId="7DCA28F9" w:rsidR="00365FDC" w:rsidRDefault="00365FDC" w:rsidP="00365FDC"/>
    <w:p w14:paraId="4F92D390" w14:textId="4ECB25EF" w:rsidR="00C60294" w:rsidRDefault="00C60294" w:rsidP="00365FDC"/>
    <w:sectPr w:rsidR="00C60294">
      <w:headerReference w:type="default" r:id="rId26"/>
      <w:headerReference w:type="first" r:id="rId27"/>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68EA9" w14:textId="77777777" w:rsidR="006A1922" w:rsidRDefault="006A1922">
      <w:pPr>
        <w:spacing w:line="240" w:lineRule="auto"/>
      </w:pPr>
      <w:r>
        <w:separator/>
      </w:r>
    </w:p>
    <w:p w14:paraId="1D8BCA21" w14:textId="77777777" w:rsidR="006A1922" w:rsidRDefault="006A1922"/>
  </w:endnote>
  <w:endnote w:type="continuationSeparator" w:id="0">
    <w:p w14:paraId="2EC630ED" w14:textId="77777777" w:rsidR="006A1922" w:rsidRDefault="006A1922">
      <w:pPr>
        <w:spacing w:line="240" w:lineRule="auto"/>
      </w:pPr>
      <w:r>
        <w:continuationSeparator/>
      </w:r>
    </w:p>
    <w:p w14:paraId="044FBE6E" w14:textId="77777777" w:rsidR="006A1922" w:rsidRDefault="006A19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9019A" w14:textId="77777777" w:rsidR="006A1922" w:rsidRDefault="006A1922">
      <w:pPr>
        <w:spacing w:line="240" w:lineRule="auto"/>
      </w:pPr>
      <w:r>
        <w:separator/>
      </w:r>
    </w:p>
    <w:p w14:paraId="52BF1E47" w14:textId="77777777" w:rsidR="006A1922" w:rsidRDefault="006A1922"/>
  </w:footnote>
  <w:footnote w:type="continuationSeparator" w:id="0">
    <w:p w14:paraId="61D1F6A2" w14:textId="77777777" w:rsidR="006A1922" w:rsidRDefault="006A1922">
      <w:pPr>
        <w:spacing w:line="240" w:lineRule="auto"/>
      </w:pPr>
      <w:r>
        <w:continuationSeparator/>
      </w:r>
    </w:p>
    <w:p w14:paraId="4EEFA115" w14:textId="77777777" w:rsidR="006A1922" w:rsidRDefault="006A19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A00D" w14:textId="33854230" w:rsidR="006A1922" w:rsidRDefault="006A1922">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98055A">
      <w:rPr>
        <w:rStyle w:val="Strong"/>
        <w:noProof/>
      </w:rPr>
      <w:t>15</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7C2A" w14:textId="0A96A869" w:rsidR="006A1922" w:rsidRDefault="006A1922">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945FE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9F77FAC"/>
    <w:multiLevelType w:val="hybridMultilevel"/>
    <w:tmpl w:val="635C426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4A6645"/>
    <w:multiLevelType w:val="multilevel"/>
    <w:tmpl w:val="628AE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502418"/>
    <w:multiLevelType w:val="multilevel"/>
    <w:tmpl w:val="D6D40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A5F6D30"/>
    <w:multiLevelType w:val="hybridMultilevel"/>
    <w:tmpl w:val="5EA08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DA42EFC"/>
    <w:multiLevelType w:val="hybridMultilevel"/>
    <w:tmpl w:val="A01CF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91436595">
    <w:abstractNumId w:val="9"/>
  </w:num>
  <w:num w:numId="2" w16cid:durableId="1225606054">
    <w:abstractNumId w:val="7"/>
  </w:num>
  <w:num w:numId="3" w16cid:durableId="1685207081">
    <w:abstractNumId w:val="6"/>
  </w:num>
  <w:num w:numId="4" w16cid:durableId="1739547516">
    <w:abstractNumId w:val="5"/>
  </w:num>
  <w:num w:numId="5" w16cid:durableId="1518353003">
    <w:abstractNumId w:val="4"/>
  </w:num>
  <w:num w:numId="6" w16cid:durableId="359283242">
    <w:abstractNumId w:val="8"/>
  </w:num>
  <w:num w:numId="7" w16cid:durableId="1406032615">
    <w:abstractNumId w:val="3"/>
  </w:num>
  <w:num w:numId="8" w16cid:durableId="1968588261">
    <w:abstractNumId w:val="2"/>
  </w:num>
  <w:num w:numId="9" w16cid:durableId="1343976070">
    <w:abstractNumId w:val="1"/>
  </w:num>
  <w:num w:numId="10" w16cid:durableId="1516070418">
    <w:abstractNumId w:val="0"/>
  </w:num>
  <w:num w:numId="11" w16cid:durableId="133111705">
    <w:abstractNumId w:val="9"/>
    <w:lvlOverride w:ilvl="0">
      <w:startOverride w:val="1"/>
    </w:lvlOverride>
  </w:num>
  <w:num w:numId="12" w16cid:durableId="1872723491">
    <w:abstractNumId w:val="18"/>
  </w:num>
  <w:num w:numId="13" w16cid:durableId="132992935">
    <w:abstractNumId w:val="15"/>
  </w:num>
  <w:num w:numId="14" w16cid:durableId="359935401">
    <w:abstractNumId w:val="13"/>
  </w:num>
  <w:num w:numId="15" w16cid:durableId="2111852145">
    <w:abstractNumId w:val="17"/>
  </w:num>
  <w:num w:numId="16" w16cid:durableId="1707560290">
    <w:abstractNumId w:val="11"/>
  </w:num>
  <w:num w:numId="17" w16cid:durableId="759835875">
    <w:abstractNumId w:val="12"/>
  </w:num>
  <w:num w:numId="18" w16cid:durableId="1931428884">
    <w:abstractNumId w:val="10"/>
  </w:num>
  <w:num w:numId="19" w16cid:durableId="736711703">
    <w:abstractNumId w:val="16"/>
  </w:num>
  <w:num w:numId="20" w16cid:durableId="5841946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6145"/>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797F4474-7023-4401-9574-5717646BF450}"/>
    <w:docVar w:name="dgnword-eventsink" w:val="2248575452336"/>
  </w:docVars>
  <w:rsids>
    <w:rsidRoot w:val="00365FDC"/>
    <w:rsid w:val="000201D1"/>
    <w:rsid w:val="00022050"/>
    <w:rsid w:val="00022542"/>
    <w:rsid w:val="000251A3"/>
    <w:rsid w:val="00027790"/>
    <w:rsid w:val="000437EA"/>
    <w:rsid w:val="00046B8D"/>
    <w:rsid w:val="00050CD6"/>
    <w:rsid w:val="00055E32"/>
    <w:rsid w:val="00080FAC"/>
    <w:rsid w:val="00086F31"/>
    <w:rsid w:val="000B0BCF"/>
    <w:rsid w:val="000B34E8"/>
    <w:rsid w:val="000C2C81"/>
    <w:rsid w:val="000D3F41"/>
    <w:rsid w:val="000D779B"/>
    <w:rsid w:val="000E4F7D"/>
    <w:rsid w:val="001144C9"/>
    <w:rsid w:val="00141CEE"/>
    <w:rsid w:val="001A42FF"/>
    <w:rsid w:val="001B5C53"/>
    <w:rsid w:val="001F4099"/>
    <w:rsid w:val="001F6B2A"/>
    <w:rsid w:val="00224584"/>
    <w:rsid w:val="00225542"/>
    <w:rsid w:val="00236842"/>
    <w:rsid w:val="00237191"/>
    <w:rsid w:val="0024796A"/>
    <w:rsid w:val="00270D3B"/>
    <w:rsid w:val="0027106B"/>
    <w:rsid w:val="00276250"/>
    <w:rsid w:val="002800BF"/>
    <w:rsid w:val="002C5E32"/>
    <w:rsid w:val="002F2639"/>
    <w:rsid w:val="002F6D45"/>
    <w:rsid w:val="00301698"/>
    <w:rsid w:val="00312CE7"/>
    <w:rsid w:val="00317A81"/>
    <w:rsid w:val="0032101A"/>
    <w:rsid w:val="00353271"/>
    <w:rsid w:val="00355DCA"/>
    <w:rsid w:val="00365FDC"/>
    <w:rsid w:val="0037484F"/>
    <w:rsid w:val="00375A13"/>
    <w:rsid w:val="00404BFC"/>
    <w:rsid w:val="00434917"/>
    <w:rsid w:val="00447F17"/>
    <w:rsid w:val="004C7D10"/>
    <w:rsid w:val="004E5304"/>
    <w:rsid w:val="004F099B"/>
    <w:rsid w:val="00516E51"/>
    <w:rsid w:val="005236EB"/>
    <w:rsid w:val="00551A02"/>
    <w:rsid w:val="0055314F"/>
    <w:rsid w:val="005534FA"/>
    <w:rsid w:val="00573670"/>
    <w:rsid w:val="005859E7"/>
    <w:rsid w:val="00596949"/>
    <w:rsid w:val="005D3A03"/>
    <w:rsid w:val="00600BAB"/>
    <w:rsid w:val="00613F51"/>
    <w:rsid w:val="006717C5"/>
    <w:rsid w:val="00677395"/>
    <w:rsid w:val="006833DA"/>
    <w:rsid w:val="0068649A"/>
    <w:rsid w:val="006930DD"/>
    <w:rsid w:val="00693E92"/>
    <w:rsid w:val="006A1922"/>
    <w:rsid w:val="006B75D7"/>
    <w:rsid w:val="006E55A6"/>
    <w:rsid w:val="006F1EB4"/>
    <w:rsid w:val="006F6AF0"/>
    <w:rsid w:val="00703EDE"/>
    <w:rsid w:val="00743582"/>
    <w:rsid w:val="0076485B"/>
    <w:rsid w:val="00787884"/>
    <w:rsid w:val="007C2C95"/>
    <w:rsid w:val="007C356F"/>
    <w:rsid w:val="007C50AB"/>
    <w:rsid w:val="008002C0"/>
    <w:rsid w:val="00855C8D"/>
    <w:rsid w:val="00860A80"/>
    <w:rsid w:val="00865451"/>
    <w:rsid w:val="00890E30"/>
    <w:rsid w:val="008B5792"/>
    <w:rsid w:val="008C3A6F"/>
    <w:rsid w:val="008C5323"/>
    <w:rsid w:val="008C5B77"/>
    <w:rsid w:val="008E32B4"/>
    <w:rsid w:val="00904C1A"/>
    <w:rsid w:val="0093011D"/>
    <w:rsid w:val="00945FE1"/>
    <w:rsid w:val="0098055A"/>
    <w:rsid w:val="009A6A3B"/>
    <w:rsid w:val="009E0752"/>
    <w:rsid w:val="009E2A02"/>
    <w:rsid w:val="00A04556"/>
    <w:rsid w:val="00A570D0"/>
    <w:rsid w:val="00A940B7"/>
    <w:rsid w:val="00AB65CF"/>
    <w:rsid w:val="00AD67CF"/>
    <w:rsid w:val="00B0080F"/>
    <w:rsid w:val="00B524FC"/>
    <w:rsid w:val="00B823AA"/>
    <w:rsid w:val="00B83AEF"/>
    <w:rsid w:val="00B94CCD"/>
    <w:rsid w:val="00B96AE5"/>
    <w:rsid w:val="00BA45DB"/>
    <w:rsid w:val="00BC35A2"/>
    <w:rsid w:val="00BC4834"/>
    <w:rsid w:val="00BF4184"/>
    <w:rsid w:val="00C0601E"/>
    <w:rsid w:val="00C31D30"/>
    <w:rsid w:val="00C44878"/>
    <w:rsid w:val="00C60294"/>
    <w:rsid w:val="00CD6E39"/>
    <w:rsid w:val="00CD76AA"/>
    <w:rsid w:val="00CF6E91"/>
    <w:rsid w:val="00D03CF9"/>
    <w:rsid w:val="00D85B68"/>
    <w:rsid w:val="00DA0FDF"/>
    <w:rsid w:val="00DC7379"/>
    <w:rsid w:val="00DF7E48"/>
    <w:rsid w:val="00E271AB"/>
    <w:rsid w:val="00E519B6"/>
    <w:rsid w:val="00E54774"/>
    <w:rsid w:val="00E6004D"/>
    <w:rsid w:val="00E62982"/>
    <w:rsid w:val="00E71CE3"/>
    <w:rsid w:val="00E81978"/>
    <w:rsid w:val="00E82FA2"/>
    <w:rsid w:val="00E83902"/>
    <w:rsid w:val="00E9033E"/>
    <w:rsid w:val="00EC7F33"/>
    <w:rsid w:val="00F02F0B"/>
    <w:rsid w:val="00F379B7"/>
    <w:rsid w:val="00F525FA"/>
    <w:rsid w:val="00F62441"/>
    <w:rsid w:val="00F8242B"/>
    <w:rsid w:val="00FC1F50"/>
    <w:rsid w:val="00FE147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0E4F7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40640">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82541256">
      <w:bodyDiv w:val="1"/>
      <w:marLeft w:val="0"/>
      <w:marRight w:val="0"/>
      <w:marTop w:val="0"/>
      <w:marBottom w:val="0"/>
      <w:divBdr>
        <w:top w:val="none" w:sz="0" w:space="0" w:color="auto"/>
        <w:left w:val="none" w:sz="0" w:space="0" w:color="auto"/>
        <w:bottom w:val="none" w:sz="0" w:space="0" w:color="auto"/>
        <w:right w:val="none" w:sz="0" w:space="0" w:color="auto"/>
      </w:divBdr>
      <w:divsChild>
        <w:div w:id="509832006">
          <w:marLeft w:val="0"/>
          <w:marRight w:val="0"/>
          <w:marTop w:val="0"/>
          <w:marBottom w:val="0"/>
          <w:divBdr>
            <w:top w:val="single" w:sz="2" w:space="0" w:color="D9D9E3"/>
            <w:left w:val="single" w:sz="2" w:space="0" w:color="D9D9E3"/>
            <w:bottom w:val="single" w:sz="2" w:space="0" w:color="D9D9E3"/>
            <w:right w:val="single" w:sz="2" w:space="0" w:color="D9D9E3"/>
          </w:divBdr>
          <w:divsChild>
            <w:div w:id="962878948">
              <w:marLeft w:val="0"/>
              <w:marRight w:val="0"/>
              <w:marTop w:val="0"/>
              <w:marBottom w:val="0"/>
              <w:divBdr>
                <w:top w:val="single" w:sz="2" w:space="0" w:color="D9D9E3"/>
                <w:left w:val="single" w:sz="2" w:space="0" w:color="D9D9E3"/>
                <w:bottom w:val="single" w:sz="2" w:space="0" w:color="D9D9E3"/>
                <w:right w:val="single" w:sz="2" w:space="0" w:color="D9D9E3"/>
              </w:divBdr>
              <w:divsChild>
                <w:div w:id="252707998">
                  <w:marLeft w:val="0"/>
                  <w:marRight w:val="0"/>
                  <w:marTop w:val="0"/>
                  <w:marBottom w:val="0"/>
                  <w:divBdr>
                    <w:top w:val="single" w:sz="2" w:space="0" w:color="D9D9E3"/>
                    <w:left w:val="single" w:sz="2" w:space="0" w:color="D9D9E3"/>
                    <w:bottom w:val="single" w:sz="2" w:space="0" w:color="D9D9E3"/>
                    <w:right w:val="single" w:sz="2" w:space="0" w:color="D9D9E3"/>
                  </w:divBdr>
                  <w:divsChild>
                    <w:div w:id="498887524">
                      <w:marLeft w:val="0"/>
                      <w:marRight w:val="0"/>
                      <w:marTop w:val="0"/>
                      <w:marBottom w:val="0"/>
                      <w:divBdr>
                        <w:top w:val="single" w:sz="2" w:space="0" w:color="D9D9E3"/>
                        <w:left w:val="single" w:sz="2" w:space="0" w:color="D9D9E3"/>
                        <w:bottom w:val="single" w:sz="2" w:space="0" w:color="D9D9E3"/>
                        <w:right w:val="single" w:sz="2" w:space="0" w:color="D9D9E3"/>
                      </w:divBdr>
                      <w:divsChild>
                        <w:div w:id="1607493633">
                          <w:marLeft w:val="0"/>
                          <w:marRight w:val="0"/>
                          <w:marTop w:val="0"/>
                          <w:marBottom w:val="0"/>
                          <w:divBdr>
                            <w:top w:val="single" w:sz="2" w:space="0" w:color="auto"/>
                            <w:left w:val="single" w:sz="2" w:space="0" w:color="auto"/>
                            <w:bottom w:val="single" w:sz="6" w:space="0" w:color="auto"/>
                            <w:right w:val="single" w:sz="2" w:space="0" w:color="auto"/>
                          </w:divBdr>
                          <w:divsChild>
                            <w:div w:id="1462764980">
                              <w:marLeft w:val="0"/>
                              <w:marRight w:val="0"/>
                              <w:marTop w:val="100"/>
                              <w:marBottom w:val="100"/>
                              <w:divBdr>
                                <w:top w:val="single" w:sz="2" w:space="0" w:color="D9D9E3"/>
                                <w:left w:val="single" w:sz="2" w:space="0" w:color="D9D9E3"/>
                                <w:bottom w:val="single" w:sz="2" w:space="0" w:color="D9D9E3"/>
                                <w:right w:val="single" w:sz="2" w:space="0" w:color="D9D9E3"/>
                              </w:divBdr>
                              <w:divsChild>
                                <w:div w:id="325087452">
                                  <w:marLeft w:val="0"/>
                                  <w:marRight w:val="0"/>
                                  <w:marTop w:val="0"/>
                                  <w:marBottom w:val="0"/>
                                  <w:divBdr>
                                    <w:top w:val="single" w:sz="2" w:space="0" w:color="D9D9E3"/>
                                    <w:left w:val="single" w:sz="2" w:space="0" w:color="D9D9E3"/>
                                    <w:bottom w:val="single" w:sz="2" w:space="0" w:color="D9D9E3"/>
                                    <w:right w:val="single" w:sz="2" w:space="0" w:color="D9D9E3"/>
                                  </w:divBdr>
                                  <w:divsChild>
                                    <w:div w:id="1865904783">
                                      <w:marLeft w:val="0"/>
                                      <w:marRight w:val="0"/>
                                      <w:marTop w:val="0"/>
                                      <w:marBottom w:val="0"/>
                                      <w:divBdr>
                                        <w:top w:val="single" w:sz="2" w:space="0" w:color="D9D9E3"/>
                                        <w:left w:val="single" w:sz="2" w:space="0" w:color="D9D9E3"/>
                                        <w:bottom w:val="single" w:sz="2" w:space="0" w:color="D9D9E3"/>
                                        <w:right w:val="single" w:sz="2" w:space="0" w:color="D9D9E3"/>
                                      </w:divBdr>
                                      <w:divsChild>
                                        <w:div w:id="2049605036">
                                          <w:marLeft w:val="0"/>
                                          <w:marRight w:val="0"/>
                                          <w:marTop w:val="0"/>
                                          <w:marBottom w:val="0"/>
                                          <w:divBdr>
                                            <w:top w:val="single" w:sz="2" w:space="0" w:color="D9D9E3"/>
                                            <w:left w:val="single" w:sz="2" w:space="0" w:color="D9D9E3"/>
                                            <w:bottom w:val="single" w:sz="2" w:space="0" w:color="D9D9E3"/>
                                            <w:right w:val="single" w:sz="2" w:space="0" w:color="D9D9E3"/>
                                          </w:divBdr>
                                          <w:divsChild>
                                            <w:div w:id="6886083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95701974">
          <w:marLeft w:val="0"/>
          <w:marRight w:val="0"/>
          <w:marTop w:val="0"/>
          <w:marBottom w:val="0"/>
          <w:divBdr>
            <w:top w:val="none" w:sz="0" w:space="0" w:color="auto"/>
            <w:left w:val="none" w:sz="0" w:space="0" w:color="auto"/>
            <w:bottom w:val="none" w:sz="0" w:space="0" w:color="auto"/>
            <w:right w:val="none" w:sz="0" w:space="0" w:color="auto"/>
          </w:divBdr>
        </w:div>
      </w:divsChild>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88530853">
      <w:bodyDiv w:val="1"/>
      <w:marLeft w:val="0"/>
      <w:marRight w:val="0"/>
      <w:marTop w:val="0"/>
      <w:marBottom w:val="0"/>
      <w:divBdr>
        <w:top w:val="none" w:sz="0" w:space="0" w:color="auto"/>
        <w:left w:val="none" w:sz="0" w:space="0" w:color="auto"/>
        <w:bottom w:val="none" w:sz="0" w:space="0" w:color="auto"/>
        <w:right w:val="none" w:sz="0" w:space="0" w:color="auto"/>
      </w:divBdr>
    </w:div>
    <w:div w:id="745803122">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857425932">
      <w:bodyDiv w:val="1"/>
      <w:marLeft w:val="0"/>
      <w:marRight w:val="0"/>
      <w:marTop w:val="0"/>
      <w:marBottom w:val="0"/>
      <w:divBdr>
        <w:top w:val="none" w:sz="0" w:space="0" w:color="auto"/>
        <w:left w:val="none" w:sz="0" w:space="0" w:color="auto"/>
        <w:bottom w:val="none" w:sz="0" w:space="0" w:color="auto"/>
        <w:right w:val="none" w:sz="0" w:space="0" w:color="auto"/>
      </w:divBdr>
      <w:divsChild>
        <w:div w:id="1911501536">
          <w:marLeft w:val="0"/>
          <w:marRight w:val="0"/>
          <w:marTop w:val="0"/>
          <w:marBottom w:val="0"/>
          <w:divBdr>
            <w:top w:val="single" w:sz="2" w:space="0" w:color="D9D9E3"/>
            <w:left w:val="single" w:sz="2" w:space="0" w:color="D9D9E3"/>
            <w:bottom w:val="single" w:sz="2" w:space="0" w:color="D9D9E3"/>
            <w:right w:val="single" w:sz="2" w:space="0" w:color="D9D9E3"/>
          </w:divBdr>
          <w:divsChild>
            <w:div w:id="1834569436">
              <w:marLeft w:val="0"/>
              <w:marRight w:val="0"/>
              <w:marTop w:val="0"/>
              <w:marBottom w:val="0"/>
              <w:divBdr>
                <w:top w:val="single" w:sz="2" w:space="0" w:color="D9D9E3"/>
                <w:left w:val="single" w:sz="2" w:space="0" w:color="D9D9E3"/>
                <w:bottom w:val="single" w:sz="2" w:space="0" w:color="D9D9E3"/>
                <w:right w:val="single" w:sz="2" w:space="0" w:color="D9D9E3"/>
              </w:divBdr>
              <w:divsChild>
                <w:div w:id="1590388426">
                  <w:marLeft w:val="0"/>
                  <w:marRight w:val="0"/>
                  <w:marTop w:val="0"/>
                  <w:marBottom w:val="0"/>
                  <w:divBdr>
                    <w:top w:val="single" w:sz="2" w:space="0" w:color="D9D9E3"/>
                    <w:left w:val="single" w:sz="2" w:space="0" w:color="D9D9E3"/>
                    <w:bottom w:val="single" w:sz="2" w:space="0" w:color="D9D9E3"/>
                    <w:right w:val="single" w:sz="2" w:space="0" w:color="D9D9E3"/>
                  </w:divBdr>
                  <w:divsChild>
                    <w:div w:id="1487089636">
                      <w:marLeft w:val="0"/>
                      <w:marRight w:val="0"/>
                      <w:marTop w:val="0"/>
                      <w:marBottom w:val="0"/>
                      <w:divBdr>
                        <w:top w:val="single" w:sz="2" w:space="0" w:color="D9D9E3"/>
                        <w:left w:val="single" w:sz="2" w:space="0" w:color="D9D9E3"/>
                        <w:bottom w:val="single" w:sz="2" w:space="0" w:color="D9D9E3"/>
                        <w:right w:val="single" w:sz="2" w:space="0" w:color="D9D9E3"/>
                      </w:divBdr>
                      <w:divsChild>
                        <w:div w:id="1411846611">
                          <w:marLeft w:val="0"/>
                          <w:marRight w:val="0"/>
                          <w:marTop w:val="0"/>
                          <w:marBottom w:val="0"/>
                          <w:divBdr>
                            <w:top w:val="single" w:sz="2" w:space="0" w:color="auto"/>
                            <w:left w:val="single" w:sz="2" w:space="0" w:color="auto"/>
                            <w:bottom w:val="single" w:sz="6" w:space="0" w:color="auto"/>
                            <w:right w:val="single" w:sz="2" w:space="0" w:color="auto"/>
                          </w:divBdr>
                          <w:divsChild>
                            <w:div w:id="1727678464">
                              <w:marLeft w:val="0"/>
                              <w:marRight w:val="0"/>
                              <w:marTop w:val="100"/>
                              <w:marBottom w:val="100"/>
                              <w:divBdr>
                                <w:top w:val="single" w:sz="2" w:space="0" w:color="D9D9E3"/>
                                <w:left w:val="single" w:sz="2" w:space="0" w:color="D9D9E3"/>
                                <w:bottom w:val="single" w:sz="2" w:space="0" w:color="D9D9E3"/>
                                <w:right w:val="single" w:sz="2" w:space="0" w:color="D9D9E3"/>
                              </w:divBdr>
                              <w:divsChild>
                                <w:div w:id="1506167809">
                                  <w:marLeft w:val="0"/>
                                  <w:marRight w:val="0"/>
                                  <w:marTop w:val="0"/>
                                  <w:marBottom w:val="0"/>
                                  <w:divBdr>
                                    <w:top w:val="single" w:sz="2" w:space="0" w:color="D9D9E3"/>
                                    <w:left w:val="single" w:sz="2" w:space="0" w:color="D9D9E3"/>
                                    <w:bottom w:val="single" w:sz="2" w:space="0" w:color="D9D9E3"/>
                                    <w:right w:val="single" w:sz="2" w:space="0" w:color="D9D9E3"/>
                                  </w:divBdr>
                                  <w:divsChild>
                                    <w:div w:id="414477802">
                                      <w:marLeft w:val="0"/>
                                      <w:marRight w:val="0"/>
                                      <w:marTop w:val="0"/>
                                      <w:marBottom w:val="0"/>
                                      <w:divBdr>
                                        <w:top w:val="single" w:sz="2" w:space="0" w:color="D9D9E3"/>
                                        <w:left w:val="single" w:sz="2" w:space="0" w:color="D9D9E3"/>
                                        <w:bottom w:val="single" w:sz="2" w:space="0" w:color="D9D9E3"/>
                                        <w:right w:val="single" w:sz="2" w:space="0" w:color="D9D9E3"/>
                                      </w:divBdr>
                                      <w:divsChild>
                                        <w:div w:id="1481194461">
                                          <w:marLeft w:val="0"/>
                                          <w:marRight w:val="0"/>
                                          <w:marTop w:val="0"/>
                                          <w:marBottom w:val="0"/>
                                          <w:divBdr>
                                            <w:top w:val="single" w:sz="2" w:space="0" w:color="D9D9E3"/>
                                            <w:left w:val="single" w:sz="2" w:space="0" w:color="D9D9E3"/>
                                            <w:bottom w:val="single" w:sz="2" w:space="0" w:color="D9D9E3"/>
                                            <w:right w:val="single" w:sz="2" w:space="0" w:color="D9D9E3"/>
                                          </w:divBdr>
                                          <w:divsChild>
                                            <w:div w:id="19537788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222133709">
          <w:marLeft w:val="0"/>
          <w:marRight w:val="0"/>
          <w:marTop w:val="0"/>
          <w:marBottom w:val="0"/>
          <w:divBdr>
            <w:top w:val="none" w:sz="0" w:space="0" w:color="auto"/>
            <w:left w:val="none" w:sz="0" w:space="0" w:color="auto"/>
            <w:bottom w:val="none" w:sz="0" w:space="0" w:color="auto"/>
            <w:right w:val="none" w:sz="0" w:space="0" w:color="auto"/>
          </w:divBdr>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75141329">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bar.org/groups/crsj/publiccations/human_rights_magazine_home/intersection-of-lgbtq-rights-and-religious-freedom/lgbtq-inclusive-curriculum-as-a-path-to-better-public-health/" TargetMode="External"/><Relationship Id="rId13" Type="http://schemas.openxmlformats.org/officeDocument/2006/relationships/hyperlink" Target="https://doi.org/10.1177/0022167818791082" TargetMode="External"/><Relationship Id="rId18" Type="http://schemas.openxmlformats.org/officeDocument/2006/relationships/hyperlink" Target="https://pewresearch.org/social-trends/2013/06/13/a-survey-of-lgbtq-american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5195/jyd.2021.1072" TargetMode="External"/><Relationship Id="rId7" Type="http://schemas.openxmlformats.org/officeDocument/2006/relationships/endnotes" Target="endnotes.xml"/><Relationship Id="rId12" Type="http://schemas.openxmlformats.org/officeDocument/2006/relationships/hyperlink" Target="https://doi.org/10.2105/AJPH.2019.305079" TargetMode="External"/><Relationship Id="rId17" Type="http://schemas.openxmlformats.org/officeDocument/2006/relationships/hyperlink" Target="https://www.nea.org/advocating-for-change/new-from-new/why-pronouns-matter" TargetMode="External"/><Relationship Id="rId25" Type="http://schemas.openxmlformats.org/officeDocument/2006/relationships/hyperlink" Target="https://doi.org/10.1111/jopy.12744" TargetMode="External"/><Relationship Id="rId2" Type="http://schemas.openxmlformats.org/officeDocument/2006/relationships/numbering" Target="numbering.xml"/><Relationship Id="rId16" Type="http://schemas.openxmlformats.org/officeDocument/2006/relationships/hyperlink" Target="https://doi.org/10.4102/hsag.v26i0.1487" TargetMode="External"/><Relationship Id="rId20" Type="http://schemas.openxmlformats.org/officeDocument/2006/relationships/hyperlink" Target="https://doi.org/10.2174/221067661166621110512064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86/s40359-021-00595-6" TargetMode="External"/><Relationship Id="rId24" Type="http://schemas.openxmlformats.org/officeDocument/2006/relationships/hyperlink" Target="https://doi.org/10.1300/J159v03n03_02" TargetMode="External"/><Relationship Id="rId5" Type="http://schemas.openxmlformats.org/officeDocument/2006/relationships/webSettings" Target="webSettings.xml"/><Relationship Id="rId15" Type="http://schemas.openxmlformats.org/officeDocument/2006/relationships/hyperlink" Target="https://www.loc.gov/ghe/cascade/index.html?appid=90dcc35abb714a24914c68c9654adb67" TargetMode="External"/><Relationship Id="rId23" Type="http://schemas.openxmlformats.org/officeDocument/2006/relationships/hyperlink" Target="https://doi.org/10.1093/ojls/gqab024" TargetMode="External"/><Relationship Id="rId28" Type="http://schemas.openxmlformats.org/officeDocument/2006/relationships/fontTable" Target="fontTable.xml"/><Relationship Id="rId10" Type="http://schemas.openxmlformats.org/officeDocument/2006/relationships/hyperlink" Target="https://www.cdc.gov/healthyyouth/stories/aps_nm.htm" TargetMode="External"/><Relationship Id="rId19" Type="http://schemas.openxmlformats.org/officeDocument/2006/relationships/hyperlink" Target="https://lgbt.ucsf.edu/pride-values" TargetMode="External"/><Relationship Id="rId4" Type="http://schemas.openxmlformats.org/officeDocument/2006/relationships/settings" Target="settings.xml"/><Relationship Id="rId9" Type="http://schemas.openxmlformats.org/officeDocument/2006/relationships/hyperlink" Target="https://cnn.com/style/article/drag-queen-us-history-explainer-cec/index.html" TargetMode="External"/><Relationship Id="rId14" Type="http://schemas.openxmlformats.org/officeDocument/2006/relationships/hyperlink" Target="https://doi.org/10.1037/sgd0000265" TargetMode="External"/><Relationship Id="rId22" Type="http://schemas.openxmlformats.org/officeDocument/2006/relationships/hyperlink" Target="https://www.thetrevorproject.org/resources/guide/the-coming-out-handbook/" TargetMode="External"/><Relationship Id="rId27" Type="http://schemas.openxmlformats.org/officeDocument/2006/relationships/header" Target="head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026FFDF81E47E28B149C4C1D793926"/>
        <w:category>
          <w:name w:val="General"/>
          <w:gallery w:val="placeholder"/>
        </w:category>
        <w:types>
          <w:type w:val="bbPlcHdr"/>
        </w:types>
        <w:behaviors>
          <w:behavior w:val="content"/>
        </w:behaviors>
        <w:guid w:val="{3A6825A3-47BC-4F35-A648-C4B1C818E5E7}"/>
      </w:docPartPr>
      <w:docPartBody>
        <w:p w:rsidR="00536810" w:rsidRDefault="00861763">
          <w:pPr>
            <w:pStyle w:val="06026FFDF81E47E28B149C4C1D793926"/>
          </w:pPr>
          <w:r>
            <w:t>[Title Here, up to 12 Words, on One to Two Lines]</w:t>
          </w:r>
        </w:p>
      </w:docPartBody>
    </w:docPart>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FCE9B79E5DEE4A6CAD33386BB3FAA26C"/>
        <w:category>
          <w:name w:val="General"/>
          <w:gallery w:val="placeholder"/>
        </w:category>
        <w:types>
          <w:type w:val="bbPlcHdr"/>
        </w:types>
        <w:behaviors>
          <w:behavior w:val="content"/>
        </w:behaviors>
        <w:guid w:val="{DB67798E-A38D-41A4-BA05-560E7601BACD}"/>
      </w:docPartPr>
      <w:docPartBody>
        <w:p w:rsidR="00536810" w:rsidRDefault="00356A6C" w:rsidP="00356A6C">
          <w:pPr>
            <w:pStyle w:val="FCE9B79E5DEE4A6CAD33386BB3FAA26C25"/>
          </w:pPr>
          <w:r w:rsidRPr="00787884">
            <w:rPr>
              <w:rStyle w:val="PlaceholderText"/>
            </w:rPr>
            <w:t>[Institution]</w:t>
          </w:r>
        </w:p>
      </w:docPartBody>
    </w:docPart>
    <w:docPart>
      <w:docPartPr>
        <w:name w:val="9068D7141D6C4F4F98FEF569C17AE3BF"/>
        <w:category>
          <w:name w:val="General"/>
          <w:gallery w:val="placeholder"/>
        </w:category>
        <w:types>
          <w:type w:val="bbPlcHdr"/>
        </w:types>
        <w:behaviors>
          <w:behavior w:val="content"/>
        </w:behaviors>
        <w:guid w:val="{F47F7650-0996-4488-9BFB-3B8B50753D9A}"/>
      </w:docPartPr>
      <w:docPartBody>
        <w:p w:rsidR="00356A6C" w:rsidRDefault="00356A6C" w:rsidP="00356A6C">
          <w:pPr>
            <w:pStyle w:val="9068D7141D6C4F4F98FEF569C17AE3BF9"/>
          </w:pPr>
          <w:r w:rsidRPr="00787884">
            <w:rPr>
              <w:rStyle w:val="PlaceholderText"/>
            </w:rPr>
            <w:t>[</w:t>
          </w:r>
          <w:r>
            <w:rPr>
              <w:rStyle w:val="PlaceholderText"/>
            </w:rPr>
            <w:t>First Name Last Name</w:t>
          </w:r>
          <w:r w:rsidRPr="00787884">
            <w:rPr>
              <w:rStyle w:val="PlaceholderText"/>
            </w:rPr>
            <w:t>]</w:t>
          </w:r>
        </w:p>
      </w:docPartBody>
    </w:docPart>
    <w:docPart>
      <w:docPartPr>
        <w:name w:val="FE6E0EA525104AC2AE54892E07EF5713"/>
        <w:category>
          <w:name w:val="General"/>
          <w:gallery w:val="placeholder"/>
        </w:category>
        <w:types>
          <w:type w:val="bbPlcHdr"/>
        </w:types>
        <w:behaviors>
          <w:behavior w:val="content"/>
        </w:behaviors>
        <w:guid w:val="{C9290049-C7B6-42A0-B44E-8D6A72F387C8}"/>
      </w:docPartPr>
      <w:docPartBody>
        <w:p w:rsidR="00356A6C" w:rsidRDefault="00356A6C" w:rsidP="00356A6C">
          <w:pPr>
            <w:pStyle w:val="FE6E0EA525104AC2AE54892E07EF57139"/>
          </w:pPr>
          <w:r w:rsidRPr="00787884">
            <w:rPr>
              <w:rStyle w:val="PlaceholderText"/>
            </w:rPr>
            <w:t>[</w:t>
          </w:r>
          <w:r>
            <w:t>Course Number: Course Name</w:t>
          </w:r>
          <w:r w:rsidRPr="00787884">
            <w:rPr>
              <w:rStyle w:val="PlaceholderText"/>
            </w:rPr>
            <w:t>]</w:t>
          </w:r>
        </w:p>
      </w:docPartBody>
    </w:docPart>
    <w:docPart>
      <w:docPartPr>
        <w:name w:val="5CA3F240C1B640C1BFACC528DA165F02"/>
        <w:category>
          <w:name w:val="General"/>
          <w:gallery w:val="placeholder"/>
        </w:category>
        <w:types>
          <w:type w:val="bbPlcHdr"/>
        </w:types>
        <w:behaviors>
          <w:behavior w:val="content"/>
        </w:behaviors>
        <w:guid w:val="{7D9DB3A8-8FD9-45DF-AB5F-1B654732AF9A}"/>
      </w:docPartPr>
      <w:docPartBody>
        <w:p w:rsidR="00356A6C" w:rsidRDefault="00356A6C" w:rsidP="00356A6C">
          <w:pPr>
            <w:pStyle w:val="5CA3F240C1B640C1BFACC528DA165F029"/>
          </w:pPr>
          <w:r>
            <w:rPr>
              <w:rStyle w:val="PlaceholderText"/>
            </w:rPr>
            <w:t>[Instructor Name]</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A4"/>
    <w:rsid w:val="00350068"/>
    <w:rsid w:val="00356A6C"/>
    <w:rsid w:val="00494EA7"/>
    <w:rsid w:val="00536810"/>
    <w:rsid w:val="0056228B"/>
    <w:rsid w:val="0059318C"/>
    <w:rsid w:val="00861763"/>
    <w:rsid w:val="00EA03A4"/>
    <w:rsid w:val="00F7773F"/>
    <w:rsid w:val="00F7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26FFDF81E47E28B149C4C1D793926">
    <w:name w:val="06026FFDF81E47E28B149C4C1D793926"/>
  </w:style>
  <w:style w:type="character" w:styleId="Emphasis">
    <w:name w:val="Emphasis"/>
    <w:basedOn w:val="DefaultParagraphFont"/>
    <w:uiPriority w:val="4"/>
    <w:unhideWhenUsed/>
    <w:qFormat/>
    <w:rsid w:val="00356A6C"/>
    <w:rPr>
      <w:i/>
      <w:iCs/>
    </w:rPr>
  </w:style>
  <w:style w:type="paragraph" w:customStyle="1" w:styleId="830F4885C7E8421591065380858FDE4D">
    <w:name w:val="830F4885C7E8421591065380858FDE4D"/>
  </w:style>
  <w:style w:type="character" w:styleId="PlaceholderText">
    <w:name w:val="Placeholder Text"/>
    <w:basedOn w:val="DefaultParagraphFont"/>
    <w:uiPriority w:val="99"/>
    <w:semiHidden/>
    <w:rsid w:val="00356A6C"/>
    <w:rPr>
      <w:color w:val="404040" w:themeColor="text1" w:themeTint="BF"/>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5ED8DBC-9D43-4B0A-B7BF-23552E6BC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4</TotalTime>
  <Pages>15</Pages>
  <Words>3675</Words>
  <Characters>20954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Cultural Immersion Research and Events: LGBTQ+</vt:lpstr>
    </vt:vector>
  </TitlesOfParts>
  <Company/>
  <LinksUpToDate>false</LinksUpToDate>
  <CharactersWithSpaces>24580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Immersion Research and Events: LGBTQ+</dc:title>
  <dc:subject/>
  <dc:creator>Anthony Boen</dc:creator>
  <cp:keywords/>
  <dc:description/>
  <cp:lastModifiedBy>Katina Glasco</cp:lastModifiedBy>
  <cp:revision>5</cp:revision>
  <dcterms:created xsi:type="dcterms:W3CDTF">2023-08-06T10:12:00Z</dcterms:created>
  <dcterms:modified xsi:type="dcterms:W3CDTF">2023-08-06T10:16:00Z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bfcac0fb124e9fdb2322c7a4eae2907cfa6a58dd113ab7a93a9731954702acf0</vt:lpwstr>
  </property>
</Properties>
</file>