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84D20F0" w14:textId="77777777" w:rsidR="004E1AD4" w:rsidRPr="00651B5D" w:rsidRDefault="004E1AD4">
      <w:pPr>
        <w:rPr>
          <w:rFonts w:cs="Times New Roman"/>
          <w:szCs w:val="24"/>
        </w:rPr>
      </w:pPr>
    </w:p>
    <w:p w14:paraId="51F57898" w14:textId="77777777" w:rsidR="00E04474" w:rsidRDefault="00E04474">
      <w:pPr>
        <w:rPr>
          <w:rFonts w:cs="Times New Roman"/>
          <w:szCs w:val="24"/>
        </w:rPr>
      </w:pPr>
    </w:p>
    <w:p w14:paraId="51203E27" w14:textId="77777777" w:rsidR="00E04474" w:rsidRPr="00651B5D" w:rsidRDefault="00E04474">
      <w:pPr>
        <w:rPr>
          <w:rFonts w:cs="Times New Roman"/>
          <w:szCs w:val="24"/>
        </w:rPr>
      </w:pPr>
    </w:p>
    <w:p w14:paraId="5CFD3D53" w14:textId="494BA225" w:rsidR="001B17D4" w:rsidRPr="00651B5D" w:rsidRDefault="00A93C44" w:rsidP="00646920">
      <w:pPr>
        <w:pStyle w:val="BodyText"/>
        <w:tabs>
          <w:tab w:val="left" w:pos="10530"/>
        </w:tabs>
        <w:spacing w:line="480" w:lineRule="auto"/>
        <w:jc w:val="center"/>
        <w:rPr>
          <w:b/>
          <w:bCs/>
          <w:sz w:val="24"/>
          <w:szCs w:val="24"/>
        </w:rPr>
      </w:pPr>
      <w:r>
        <w:rPr>
          <w:b/>
          <w:bCs/>
          <w:sz w:val="24"/>
          <w:szCs w:val="24"/>
        </w:rPr>
        <w:t>Legal Entanglement Project: Part 2 – Professional Norms Knowledge Base</w:t>
      </w:r>
    </w:p>
    <w:p w14:paraId="7A268D37" w14:textId="77777777" w:rsidR="00382C6C" w:rsidRDefault="00382C6C" w:rsidP="001B17D4">
      <w:pPr>
        <w:pStyle w:val="BodyText"/>
        <w:spacing w:line="480" w:lineRule="auto"/>
        <w:ind w:right="30"/>
        <w:jc w:val="center"/>
        <w:rPr>
          <w:sz w:val="24"/>
          <w:szCs w:val="24"/>
          <w:highlight w:val="yellow"/>
        </w:rPr>
      </w:pPr>
    </w:p>
    <w:p w14:paraId="34045EAF" w14:textId="28C1C661" w:rsidR="00C12D39" w:rsidRDefault="00342A11" w:rsidP="00C46744">
      <w:pPr>
        <w:pStyle w:val="BodyText"/>
        <w:spacing w:line="480" w:lineRule="auto"/>
        <w:jc w:val="center"/>
        <w:rPr>
          <w:sz w:val="24"/>
          <w:szCs w:val="24"/>
        </w:rPr>
      </w:pPr>
      <w:r>
        <w:rPr>
          <w:sz w:val="24"/>
          <w:szCs w:val="24"/>
        </w:rPr>
        <w:t>Timothy J LaGasse</w:t>
      </w:r>
    </w:p>
    <w:p w14:paraId="26B1220A" w14:textId="53BA7472" w:rsidR="001B17D4" w:rsidRPr="00651B5D" w:rsidRDefault="001B17D4" w:rsidP="00C46744">
      <w:pPr>
        <w:pStyle w:val="BodyText"/>
        <w:spacing w:line="480" w:lineRule="auto"/>
        <w:jc w:val="center"/>
        <w:rPr>
          <w:sz w:val="24"/>
          <w:szCs w:val="24"/>
        </w:rPr>
      </w:pPr>
      <w:r w:rsidRPr="00651B5D">
        <w:rPr>
          <w:sz w:val="24"/>
          <w:szCs w:val="24"/>
          <w:bdr w:val="none" w:sz="0" w:space="0" w:color="auto" w:frame="1"/>
        </w:rPr>
        <w:t xml:space="preserve">School of </w:t>
      </w:r>
      <w:r w:rsidR="00A93C44">
        <w:rPr>
          <w:sz w:val="24"/>
          <w:szCs w:val="24"/>
          <w:bdr w:val="none" w:sz="0" w:space="0" w:color="auto" w:frame="1"/>
        </w:rPr>
        <w:t>Education</w:t>
      </w:r>
      <w:r w:rsidRPr="00651B5D">
        <w:rPr>
          <w:sz w:val="24"/>
          <w:szCs w:val="24"/>
          <w:bdr w:val="none" w:sz="0" w:space="0" w:color="auto" w:frame="1"/>
        </w:rPr>
        <w:t xml:space="preserve">, </w:t>
      </w:r>
      <w:r w:rsidRPr="00651B5D">
        <w:rPr>
          <w:sz w:val="24"/>
          <w:szCs w:val="24"/>
        </w:rPr>
        <w:t>Liberty University</w:t>
      </w:r>
    </w:p>
    <w:p w14:paraId="74739187" w14:textId="77777777" w:rsidR="00E04474" w:rsidRPr="00651B5D" w:rsidRDefault="00E04474">
      <w:pPr>
        <w:rPr>
          <w:rFonts w:cs="Times New Roman"/>
          <w:szCs w:val="24"/>
        </w:rPr>
      </w:pPr>
    </w:p>
    <w:p w14:paraId="10A2D537" w14:textId="77777777" w:rsidR="00033212" w:rsidRDefault="00033212">
      <w:pPr>
        <w:rPr>
          <w:rFonts w:cs="Times New Roman"/>
          <w:szCs w:val="24"/>
        </w:rPr>
      </w:pPr>
    </w:p>
    <w:p w14:paraId="51DA6B7B" w14:textId="77777777" w:rsidR="00C46744" w:rsidRPr="00651B5D" w:rsidRDefault="00C46744">
      <w:pPr>
        <w:rPr>
          <w:rFonts w:cs="Times New Roman"/>
          <w:szCs w:val="24"/>
        </w:rPr>
      </w:pPr>
    </w:p>
    <w:p w14:paraId="435A38FB" w14:textId="77777777" w:rsidR="00033212" w:rsidRPr="00651B5D" w:rsidRDefault="00033212">
      <w:pPr>
        <w:rPr>
          <w:rFonts w:cs="Times New Roman"/>
          <w:szCs w:val="24"/>
        </w:rPr>
      </w:pPr>
    </w:p>
    <w:p w14:paraId="7748D337" w14:textId="77777777" w:rsidR="007C2160" w:rsidRPr="00651B5D" w:rsidRDefault="007C2160">
      <w:pPr>
        <w:rPr>
          <w:rFonts w:cs="Times New Roman"/>
          <w:szCs w:val="24"/>
        </w:rPr>
      </w:pPr>
    </w:p>
    <w:p w14:paraId="3FDBE39C" w14:textId="77777777" w:rsidR="007C2160" w:rsidRPr="00651B5D" w:rsidRDefault="007C2160">
      <w:pPr>
        <w:rPr>
          <w:rFonts w:cs="Times New Roman"/>
          <w:szCs w:val="24"/>
        </w:rPr>
      </w:pPr>
    </w:p>
    <w:p w14:paraId="71B7B09C" w14:textId="77777777" w:rsidR="00E04474" w:rsidRDefault="00E04474">
      <w:pPr>
        <w:rPr>
          <w:rFonts w:cs="Times New Roman"/>
          <w:szCs w:val="24"/>
        </w:rPr>
      </w:pPr>
    </w:p>
    <w:p w14:paraId="2EFF41D1" w14:textId="77777777" w:rsidR="00646920" w:rsidRPr="00651B5D" w:rsidRDefault="00646920">
      <w:pPr>
        <w:rPr>
          <w:rFonts w:cs="Times New Roman"/>
          <w:szCs w:val="24"/>
        </w:rPr>
      </w:pPr>
    </w:p>
    <w:p w14:paraId="118CAD32" w14:textId="77777777" w:rsidR="001B17D4" w:rsidRPr="00651B5D" w:rsidRDefault="001B17D4" w:rsidP="001B17D4">
      <w:pPr>
        <w:jc w:val="center"/>
        <w:rPr>
          <w:rFonts w:cs="Times New Roman"/>
          <w:b/>
          <w:bCs/>
          <w:szCs w:val="24"/>
        </w:rPr>
      </w:pPr>
      <w:r w:rsidRPr="00651B5D">
        <w:rPr>
          <w:rFonts w:cs="Times New Roman"/>
          <w:b/>
          <w:bCs/>
          <w:szCs w:val="24"/>
        </w:rPr>
        <w:t>Author Note</w:t>
      </w:r>
    </w:p>
    <w:p w14:paraId="4516350D" w14:textId="7FFE11FB" w:rsidR="00342A11" w:rsidRDefault="00342A11" w:rsidP="001B17D4">
      <w:pPr>
        <w:ind w:firstLine="720"/>
        <w:rPr>
          <w:rFonts w:cs="Times New Roman"/>
          <w:szCs w:val="24"/>
        </w:rPr>
      </w:pPr>
      <w:r>
        <w:rPr>
          <w:rFonts w:cs="Times New Roman"/>
          <w:szCs w:val="24"/>
        </w:rPr>
        <w:t>Timothy J LaGasse</w:t>
      </w:r>
    </w:p>
    <w:p w14:paraId="269AAB01" w14:textId="5104B75A" w:rsidR="001B17D4" w:rsidRPr="00651B5D" w:rsidRDefault="001B17D4" w:rsidP="001B17D4">
      <w:pPr>
        <w:ind w:firstLine="720"/>
        <w:rPr>
          <w:rFonts w:cs="Times New Roman"/>
          <w:szCs w:val="24"/>
        </w:rPr>
      </w:pPr>
      <w:r w:rsidRPr="00651B5D">
        <w:rPr>
          <w:rFonts w:cs="Times New Roman"/>
          <w:szCs w:val="24"/>
        </w:rPr>
        <w:t>I have no known conflict of interest to disclose.</w:t>
      </w:r>
      <w:r w:rsidR="00C12D39">
        <w:rPr>
          <w:rFonts w:cs="Times New Roman"/>
          <w:szCs w:val="24"/>
        </w:rPr>
        <w:t xml:space="preserve"> </w:t>
      </w:r>
    </w:p>
    <w:p w14:paraId="169EFCD0" w14:textId="4E9DA868" w:rsidR="001B17D4" w:rsidRPr="00651B5D" w:rsidRDefault="001B17D4" w:rsidP="00C46744">
      <w:pPr>
        <w:ind w:firstLine="720"/>
        <w:rPr>
          <w:rFonts w:cs="Times New Roman"/>
          <w:szCs w:val="24"/>
        </w:rPr>
      </w:pPr>
      <w:r w:rsidRPr="00651B5D">
        <w:rPr>
          <w:rFonts w:cs="Times New Roman"/>
          <w:szCs w:val="24"/>
        </w:rPr>
        <w:t xml:space="preserve">Correspondence concerning this article should be addressed to </w:t>
      </w:r>
      <w:r w:rsidR="00342A11">
        <w:rPr>
          <w:rFonts w:cs="Times New Roman"/>
          <w:szCs w:val="24"/>
        </w:rPr>
        <w:t>Timothy J LaGasse</w:t>
      </w:r>
      <w:r w:rsidR="00C46744">
        <w:rPr>
          <w:rFonts w:cs="Times New Roman"/>
          <w:szCs w:val="24"/>
        </w:rPr>
        <w:t xml:space="preserve">. </w:t>
      </w:r>
      <w:r w:rsidRPr="00651B5D">
        <w:rPr>
          <w:rFonts w:cs="Times New Roman"/>
          <w:szCs w:val="24"/>
        </w:rPr>
        <w:t xml:space="preserve">Email: </w:t>
      </w:r>
      <w:r w:rsidR="00342A11">
        <w:t>tlagasse@liberty.edu</w:t>
      </w:r>
    </w:p>
    <w:p w14:paraId="6C557AEC" w14:textId="77777777" w:rsidR="00877EF8" w:rsidRPr="00651B5D" w:rsidRDefault="00E04474">
      <w:pPr>
        <w:rPr>
          <w:rFonts w:cs="Times New Roman"/>
          <w:szCs w:val="24"/>
        </w:rPr>
      </w:pPr>
      <w:r w:rsidRPr="00651B5D">
        <w:rPr>
          <w:rFonts w:cs="Times New Roman"/>
          <w:szCs w:val="24"/>
        </w:rPr>
        <w:br w:type="page"/>
      </w:r>
    </w:p>
    <w:p w14:paraId="2020E5DF" w14:textId="77777777" w:rsidR="00EF61EA" w:rsidRPr="00651B5D" w:rsidRDefault="00EF61EA" w:rsidP="00EF61EA">
      <w:pPr>
        <w:rPr>
          <w:rFonts w:cs="Times New Roman"/>
          <w:szCs w:val="24"/>
        </w:rPr>
        <w:sectPr w:rsidR="00EF61EA" w:rsidRPr="00651B5D" w:rsidSect="00C12D39">
          <w:headerReference w:type="default" r:id="rId8"/>
          <w:footerReference w:type="default" r:id="rId9"/>
          <w:headerReference w:type="first" r:id="rId10"/>
          <w:footerReference w:type="first" r:id="rId11"/>
          <w:pgSz w:w="12240" w:h="15840"/>
          <w:pgMar w:top="1440" w:right="1440" w:bottom="1440" w:left="1440" w:header="720" w:footer="0" w:gutter="0"/>
          <w:pgNumType w:start="1"/>
          <w:cols w:space="720"/>
          <w:docGrid w:linePitch="326"/>
        </w:sectPr>
      </w:pPr>
    </w:p>
    <w:p w14:paraId="63C8C180" w14:textId="739D8909" w:rsidR="00A93C44" w:rsidRPr="00651B5D" w:rsidRDefault="00D971F4" w:rsidP="00A93C44">
      <w:pPr>
        <w:pStyle w:val="BodyText"/>
        <w:tabs>
          <w:tab w:val="left" w:pos="10530"/>
        </w:tabs>
        <w:spacing w:line="480" w:lineRule="auto"/>
        <w:jc w:val="center"/>
        <w:rPr>
          <w:b/>
          <w:bCs/>
          <w:sz w:val="24"/>
          <w:szCs w:val="24"/>
        </w:rPr>
      </w:pPr>
      <w:r>
        <w:rPr>
          <w:rFonts w:eastAsiaTheme="majorEastAsia"/>
          <w:b/>
          <w:bCs/>
          <w:sz w:val="24"/>
          <w:szCs w:val="28"/>
        </w:rPr>
        <w:lastRenderedPageBreak/>
        <w:fldChar w:fldCharType="begin"/>
      </w:r>
      <w:r>
        <w:rPr>
          <w:rFonts w:eastAsiaTheme="majorEastAsia"/>
          <w:b/>
          <w:bCs/>
          <w:sz w:val="24"/>
          <w:szCs w:val="28"/>
        </w:rPr>
        <w:instrText xml:space="preserve"> MACROBUTTON  AcceptAllChangesInDoc </w:instrText>
      </w:r>
      <w:r>
        <w:rPr>
          <w:rFonts w:eastAsiaTheme="majorEastAsia"/>
          <w:b/>
          <w:bCs/>
          <w:sz w:val="24"/>
          <w:szCs w:val="28"/>
        </w:rPr>
        <w:fldChar w:fldCharType="end"/>
      </w:r>
      <w:r w:rsidR="00A93C44" w:rsidRPr="00A93C44">
        <w:rPr>
          <w:b/>
          <w:bCs/>
          <w:sz w:val="24"/>
          <w:szCs w:val="24"/>
        </w:rPr>
        <w:t xml:space="preserve"> </w:t>
      </w:r>
      <w:r w:rsidR="00A93C44">
        <w:rPr>
          <w:b/>
          <w:bCs/>
          <w:sz w:val="24"/>
          <w:szCs w:val="24"/>
        </w:rPr>
        <w:t>Legal Entanglement Project: Part 2 – Professional Norms Knowledge Base</w:t>
      </w:r>
    </w:p>
    <w:p w14:paraId="291F6DD6" w14:textId="390CC39D" w:rsidR="00EF61EA" w:rsidRDefault="00A93C44" w:rsidP="000A6112">
      <w:pPr>
        <w:pStyle w:val="BodyText"/>
        <w:spacing w:line="480" w:lineRule="auto"/>
        <w:jc w:val="center"/>
        <w:rPr>
          <w:rFonts w:eastAsiaTheme="majorEastAsia"/>
          <w:b/>
          <w:bCs/>
          <w:sz w:val="24"/>
          <w:szCs w:val="28"/>
        </w:rPr>
      </w:pPr>
      <w:r>
        <w:rPr>
          <w:rFonts w:eastAsiaTheme="majorEastAsia"/>
          <w:b/>
          <w:bCs/>
          <w:sz w:val="24"/>
          <w:szCs w:val="28"/>
        </w:rPr>
        <w:t>Case Law Reviews</w:t>
      </w:r>
    </w:p>
    <w:p w14:paraId="6A7B7292" w14:textId="77777777" w:rsidR="007005F5" w:rsidRDefault="007005F5" w:rsidP="007005F5">
      <w:pPr>
        <w:rPr>
          <w:rFonts w:eastAsiaTheme="majorEastAsia" w:cs="Times New Roman"/>
          <w:b/>
          <w:bCs/>
          <w:szCs w:val="28"/>
        </w:rPr>
      </w:pPr>
      <w:bookmarkStart w:id="0" w:name="_Toc529359668"/>
      <w:bookmarkStart w:id="1" w:name="_Toc529449460"/>
      <w:bookmarkStart w:id="2" w:name="_Toc31899674"/>
      <w:r w:rsidRPr="007005F5">
        <w:rPr>
          <w:rFonts w:eastAsiaTheme="majorEastAsia" w:cs="Times New Roman"/>
          <w:b/>
          <w:bCs/>
          <w:szCs w:val="28"/>
        </w:rPr>
        <w:t>Case 1: J.S. v. Blue Mountain School District (2011)</w:t>
      </w:r>
      <w:r w:rsidRPr="007005F5">
        <w:rPr>
          <w:rFonts w:eastAsiaTheme="majorEastAsia" w:cs="Times New Roman"/>
          <w:b/>
          <w:bCs/>
          <w:szCs w:val="28"/>
        </w:rPr>
        <w:t xml:space="preserve"> </w:t>
      </w:r>
    </w:p>
    <w:p w14:paraId="7E5FCAB2" w14:textId="77777777" w:rsidR="007005F5" w:rsidRDefault="007005F5" w:rsidP="007005F5">
      <w:pPr>
        <w:ind w:firstLine="720"/>
        <w:rPr>
          <w:color w:val="0E101A"/>
        </w:rPr>
      </w:pPr>
      <w:r>
        <w:rPr>
          <w:rStyle w:val="Strong"/>
          <w:color w:val="0E101A"/>
        </w:rPr>
        <w:t>Summary:</w:t>
      </w:r>
      <w:r>
        <w:rPr>
          <w:color w:val="0E101A"/>
        </w:rPr>
        <w:t xml:space="preserve"> In J.S. v. Blue Mountain School District, an eighth-grade student, J.S., created a fake </w:t>
      </w:r>
      <w:r>
        <w:rPr>
          <w:color w:val="0E101A"/>
        </w:rPr>
        <w:t>Myspace</w:t>
      </w:r>
      <w:r>
        <w:rPr>
          <w:color w:val="0E101A"/>
        </w:rPr>
        <w:t xml:space="preserve"> profile of her principal from home, portraying him in a derogatory and offensive manner. The school suspended J.S. for ten days, arguing that the profile caused a substantial disruption. J.S. and her parents sued, claiming the suspension violated her First Amendment right to </w:t>
      </w:r>
      <w:r>
        <w:rPr>
          <w:color w:val="0E101A"/>
        </w:rPr>
        <w:lastRenderedPageBreak/>
        <w:t>free speech. The case went through the courts, with the Third Circuit Court of Appeals ruling in favor of J.S.</w:t>
      </w:r>
    </w:p>
    <w:p w14:paraId="7BE2BCF4" w14:textId="77777777" w:rsidR="007005F5" w:rsidRDefault="007005F5" w:rsidP="007005F5">
      <w:pPr>
        <w:ind w:firstLine="720"/>
        <w:rPr>
          <w:color w:val="0E101A"/>
        </w:rPr>
      </w:pPr>
      <w:r>
        <w:rPr>
          <w:rStyle w:val="Strong"/>
          <w:color w:val="0E101A"/>
        </w:rPr>
        <w:t>Court's Decision:</w:t>
      </w:r>
      <w:r>
        <w:rPr>
          <w:color w:val="0E101A"/>
        </w:rPr>
        <w:t xml:space="preserve"> The Third Circuit concluded that the school district violated J.S.'s First Amendment rights. The Court determined that J.S.'s profile creation occurred off-campus and did not cause a substantial disruption at school. The decision emphasized that schools have limited authority to regulate off-campus speech unless it is proven to significantly disrupt school operations or infringe on the rights of others. The Court also highlighted the importance of distinguishing between on-campus and off-campus speech, especially in the growing digital world.</w:t>
      </w:r>
    </w:p>
    <w:p w14:paraId="5160AE7C" w14:textId="6B6424C0" w:rsidR="007005F5" w:rsidRPr="007005F5" w:rsidRDefault="007005F5" w:rsidP="007005F5">
      <w:pPr>
        <w:ind w:firstLine="720"/>
        <w:rPr>
          <w:color w:val="0E101A"/>
        </w:rPr>
      </w:pPr>
      <w:r>
        <w:rPr>
          <w:rStyle w:val="Strong"/>
          <w:color w:val="0E101A"/>
        </w:rPr>
        <w:lastRenderedPageBreak/>
        <w:t xml:space="preserve">Practical Application: </w:t>
      </w:r>
      <w:r>
        <w:rPr>
          <w:color w:val="0E101A"/>
        </w:rPr>
        <w:t>This ruling is crucial for understanding the boundaries of school authority over students' online activities, mainly when these activities occur off-campus. It establishes that students' right to free speech extends to their online presence, provided it does not substantially interfere with the educational environment. In the context of acceptable use of technology, this case underscores the need for clear policies that respect students' free speech rights while addressing potential disruptions. Schools must carefully balance maintaining a safe, educational environment and respecting students' constitutional rights.</w:t>
      </w:r>
    </w:p>
    <w:p w14:paraId="68DE9A5F" w14:textId="05129D79" w:rsidR="007005F5" w:rsidRDefault="007005F5" w:rsidP="007005F5">
      <w:pPr>
        <w:rPr>
          <w:rFonts w:eastAsiaTheme="majorEastAsia" w:cs="Times New Roman"/>
          <w:b/>
          <w:bCs/>
          <w:szCs w:val="28"/>
        </w:rPr>
      </w:pPr>
    </w:p>
    <w:p w14:paraId="35C56BB5" w14:textId="787AC395" w:rsidR="005F3CDD" w:rsidRDefault="005F3CDD" w:rsidP="007005F5"/>
    <w:p w14:paraId="6B75AB50" w14:textId="77777777" w:rsidR="007005F5" w:rsidRDefault="007005F5" w:rsidP="007005F5">
      <w:pPr>
        <w:pStyle w:val="Heading3"/>
      </w:pPr>
      <w:r>
        <w:lastRenderedPageBreak/>
        <w:t>Case 2: Tinker v. Des Moines Independent Community School District (1969)</w:t>
      </w:r>
    </w:p>
    <w:p w14:paraId="0693578B" w14:textId="77777777" w:rsidR="007005F5" w:rsidRDefault="007005F5" w:rsidP="007005F5">
      <w:pPr>
        <w:pStyle w:val="Heading3"/>
      </w:pPr>
      <w:r>
        <w:tab/>
      </w:r>
      <w:r w:rsidRPr="007005F5">
        <w:rPr>
          <w:rStyle w:val="Strong"/>
          <w:b/>
          <w:bCs w:val="0"/>
        </w:rPr>
        <w:t>Summary:</w:t>
      </w:r>
      <w:r w:rsidRPr="007005F5">
        <w:rPr>
          <w:rStyle w:val="Strong"/>
          <w:b/>
          <w:bCs w:val="0"/>
          <w:i/>
          <w:iCs/>
        </w:rPr>
        <w:t xml:space="preserve"> </w:t>
      </w:r>
      <w:r w:rsidRPr="007005F5">
        <w:rPr>
          <w:b w:val="0"/>
          <w:bCs/>
        </w:rPr>
        <w:t>In the landmark case Tinker v. Des Moines Independent Community School District, students Mary Beth Tinker, John Tinker, and Christopher Eckhardt wore black armbands to school to protest the Vietnam War. The school district had implemented a policy prohibiting the wearing of armbands, leading to the students' suspension. The students filed a lawsuit, claiming their First Amendment rights had been violated.</w:t>
      </w:r>
    </w:p>
    <w:p w14:paraId="1C5AC413" w14:textId="77777777" w:rsidR="007005F5" w:rsidRDefault="007005F5" w:rsidP="007005F5">
      <w:pPr>
        <w:pStyle w:val="Heading3"/>
        <w:rPr>
          <w:b w:val="0"/>
          <w:bCs/>
        </w:rPr>
      </w:pPr>
      <w:r>
        <w:lastRenderedPageBreak/>
        <w:tab/>
      </w:r>
      <w:r w:rsidRPr="007005F5">
        <w:rPr>
          <w:rStyle w:val="Strong"/>
          <w:b/>
          <w:bCs w:val="0"/>
        </w:rPr>
        <w:t xml:space="preserve">Court's Decision: </w:t>
      </w:r>
      <w:r w:rsidRPr="007005F5">
        <w:rPr>
          <w:b w:val="0"/>
          <w:bCs/>
        </w:rPr>
        <w:t xml:space="preserve">The Supreme Court ruled in favor of the students, stating that students do not "shed their constitutional rights to freedom of speech or expression at the schoolhouse gate." The Court held that the student's actions were protected by the First Amendment </w:t>
      </w:r>
      <w:proofErr w:type="gramStart"/>
      <w:r w:rsidRPr="007005F5">
        <w:rPr>
          <w:b w:val="0"/>
          <w:bCs/>
        </w:rPr>
        <w:t>as long as</w:t>
      </w:r>
      <w:proofErr w:type="gramEnd"/>
      <w:r w:rsidRPr="007005F5">
        <w:rPr>
          <w:b w:val="0"/>
          <w:bCs/>
        </w:rPr>
        <w:t xml:space="preserve"> their speech did not cause a substantial disruption to the school's operations. The decision set a precedent that student speech is protected unless it materially disrupts the educational process or invades the rights of others.</w:t>
      </w:r>
    </w:p>
    <w:p w14:paraId="40C00916" w14:textId="6120C852" w:rsidR="007005F5" w:rsidRPr="007005F5" w:rsidRDefault="007005F5" w:rsidP="007005F5">
      <w:pPr>
        <w:pStyle w:val="Heading3"/>
        <w:rPr>
          <w:b w:val="0"/>
          <w:bCs/>
          <w:sz w:val="27"/>
        </w:rPr>
      </w:pPr>
      <w:r>
        <w:rPr>
          <w:rStyle w:val="Strong"/>
          <w:b/>
          <w:bCs w:val="0"/>
        </w:rPr>
        <w:lastRenderedPageBreak/>
        <w:tab/>
      </w:r>
      <w:r w:rsidRPr="007005F5">
        <w:rPr>
          <w:rStyle w:val="Strong"/>
          <w:b/>
          <w:bCs w:val="0"/>
        </w:rPr>
        <w:t>Practical Application:</w:t>
      </w:r>
      <w:r>
        <w:rPr>
          <w:rStyle w:val="Strong"/>
        </w:rPr>
        <w:t xml:space="preserve"> </w:t>
      </w:r>
      <w:r w:rsidRPr="007005F5">
        <w:rPr>
          <w:b w:val="0"/>
          <w:bCs/>
        </w:rPr>
        <w:t>This case is foundational for the acceptable use of technology in education, as it established the principle that student speech is protected under the First Amendment. Schools must ensure that their policies on technology use do not infringe upon students' rights to free expression. When developing acceptable use policies, schools must consider whether the restrictions are justified by a substantial disruption or invasion of others' rights rather than simply restricting speech for its content.</w:t>
      </w:r>
    </w:p>
    <w:p w14:paraId="57F6EC55" w14:textId="77777777" w:rsidR="007005F5" w:rsidRDefault="007005F5" w:rsidP="007005F5">
      <w:pPr>
        <w:rPr>
          <w:rFonts w:eastAsiaTheme="majorEastAsia" w:cs="Times New Roman"/>
          <w:b/>
          <w:bCs/>
          <w:szCs w:val="28"/>
        </w:rPr>
      </w:pPr>
      <w:r w:rsidRPr="007005F5">
        <w:rPr>
          <w:rFonts w:eastAsiaTheme="majorEastAsia" w:cs="Times New Roman"/>
          <w:b/>
          <w:bCs/>
          <w:szCs w:val="28"/>
        </w:rPr>
        <w:t>Case 3: Kowalski v. Berkeley County Schools (2011)</w:t>
      </w:r>
      <w:r w:rsidRPr="007005F5">
        <w:rPr>
          <w:rFonts w:eastAsiaTheme="majorEastAsia" w:cs="Times New Roman"/>
          <w:b/>
          <w:bCs/>
          <w:szCs w:val="28"/>
        </w:rPr>
        <w:t xml:space="preserve"> </w:t>
      </w:r>
    </w:p>
    <w:p w14:paraId="560667A0" w14:textId="77777777" w:rsidR="007005F5" w:rsidRDefault="007005F5" w:rsidP="007005F5">
      <w:pPr>
        <w:ind w:firstLine="720"/>
        <w:rPr>
          <w:color w:val="0E101A"/>
        </w:rPr>
      </w:pPr>
      <w:r>
        <w:rPr>
          <w:rStyle w:val="Strong"/>
          <w:color w:val="0E101A"/>
        </w:rPr>
        <w:t xml:space="preserve">Summary: </w:t>
      </w:r>
      <w:r>
        <w:rPr>
          <w:color w:val="0E101A"/>
        </w:rPr>
        <w:t xml:space="preserve">In Kowalski v. Berkeley County Schools, Kara Kowalski created a </w:t>
      </w:r>
      <w:proofErr w:type="spellStart"/>
      <w:r>
        <w:rPr>
          <w:color w:val="0E101A"/>
        </w:rPr>
        <w:t>MySpace</w:t>
      </w:r>
      <w:proofErr w:type="spellEnd"/>
      <w:r>
        <w:rPr>
          <w:color w:val="0E101A"/>
        </w:rPr>
        <w:t xml:space="preserve"> page called "S.A.S.H." (Students </w:t>
      </w:r>
      <w:r>
        <w:rPr>
          <w:color w:val="0E101A"/>
        </w:rPr>
        <w:lastRenderedPageBreak/>
        <w:t xml:space="preserve">Against </w:t>
      </w:r>
      <w:proofErr w:type="gramStart"/>
      <w:r>
        <w:rPr>
          <w:color w:val="0E101A"/>
        </w:rPr>
        <w:t>Sluts</w:t>
      </w:r>
      <w:proofErr w:type="gramEnd"/>
      <w:r>
        <w:rPr>
          <w:color w:val="0E101A"/>
        </w:rPr>
        <w:t xml:space="preserve"> Herpes) from her home, targeting a fellow student. The page invited other students to post derogatory comments about the targeted student, causing significant distress. The school suspended Kowalski for violating its harassment and bullying policy. Kowalski sued, claiming her First Amendment rights were violated and that the school had overreached its authority by punishing her for off-campus speech.</w:t>
      </w:r>
    </w:p>
    <w:p w14:paraId="583D8C2B" w14:textId="77777777" w:rsidR="007005F5" w:rsidRDefault="007005F5" w:rsidP="007005F5">
      <w:pPr>
        <w:ind w:firstLine="720"/>
        <w:rPr>
          <w:color w:val="0E101A"/>
        </w:rPr>
      </w:pPr>
      <w:r>
        <w:rPr>
          <w:rStyle w:val="Strong"/>
          <w:color w:val="0E101A"/>
        </w:rPr>
        <w:t xml:space="preserve">Court's Decision: </w:t>
      </w:r>
      <w:r>
        <w:rPr>
          <w:color w:val="0E101A"/>
        </w:rPr>
        <w:t xml:space="preserve">The Fourth Circuit Court of Appeals ruled in favor of the school district, affirming that the school's actions were justified. The Court found that Kowalski's conduct created a substantial disruption within the school environment </w:t>
      </w:r>
      <w:r>
        <w:rPr>
          <w:color w:val="0E101A"/>
        </w:rPr>
        <w:lastRenderedPageBreak/>
        <w:t>and constituted bullying and harassment, which schools must prevent. The Court emphasized that schools could regulate off-campus speech if it directly and substantially impacts the school and its students.</w:t>
      </w:r>
    </w:p>
    <w:p w14:paraId="6B049B5A" w14:textId="2AC8C5AE" w:rsidR="0015621E" w:rsidRPr="0015621E" w:rsidRDefault="007005F5" w:rsidP="0015621E">
      <w:pPr>
        <w:ind w:firstLine="720"/>
        <w:rPr>
          <w:rFonts w:eastAsiaTheme="majorEastAsia" w:cs="Times New Roman"/>
          <w:b/>
          <w:bCs/>
          <w:szCs w:val="28"/>
        </w:rPr>
      </w:pPr>
      <w:r>
        <w:rPr>
          <w:rStyle w:val="Strong"/>
          <w:color w:val="0E101A"/>
        </w:rPr>
        <w:t xml:space="preserve">Practical Application: </w:t>
      </w:r>
      <w:r>
        <w:rPr>
          <w:color w:val="0E101A"/>
        </w:rPr>
        <w:t xml:space="preserve">This case highlights the circumstances under which schools can regulate off-campus online behavior. In the realm of acceptable use of technology and cybersecurity, it underscores the importance of having clear policies addressing cyberbullying and harassment. Schools must proactively prevent and address online behaviors that could harm students and disrupt the educational process, even if these actions </w:t>
      </w:r>
      <w:r>
        <w:rPr>
          <w:color w:val="0E101A"/>
        </w:rPr>
        <w:lastRenderedPageBreak/>
        <w:t>occur off-campus. This case supports the need for comprehensive cyberbullying policies and the authority of schools to enforce them when off-campus activities spill over into the school environment.</w:t>
      </w:r>
    </w:p>
    <w:p w14:paraId="31EC3B96" w14:textId="77777777" w:rsidR="0015621E" w:rsidRDefault="00A93C44" w:rsidP="0015621E">
      <w:pPr>
        <w:jc w:val="center"/>
        <w:rPr>
          <w:b/>
          <w:bCs/>
        </w:rPr>
      </w:pPr>
      <w:r>
        <w:rPr>
          <w:b/>
          <w:bCs/>
        </w:rPr>
        <w:t>Literature Review</w:t>
      </w:r>
      <w:r w:rsidR="0015621E">
        <w:rPr>
          <w:b/>
          <w:bCs/>
        </w:rPr>
        <w:t xml:space="preserve"> </w:t>
      </w:r>
    </w:p>
    <w:p w14:paraId="2A0114AB" w14:textId="77777777" w:rsidR="0015621E" w:rsidRDefault="00A05067" w:rsidP="0015621E">
      <w:pPr>
        <w:rPr>
          <w:b/>
          <w:bCs/>
          <w:color w:val="0E101A"/>
        </w:rPr>
      </w:pPr>
      <w:r w:rsidRPr="0015621E">
        <w:rPr>
          <w:b/>
          <w:bCs/>
          <w:color w:val="0E101A"/>
        </w:rPr>
        <w:t>Reference 1: Position Statement on Technology Use in Education</w:t>
      </w:r>
    </w:p>
    <w:p w14:paraId="12D4C83A" w14:textId="77777777" w:rsidR="0015621E" w:rsidRDefault="00A05067" w:rsidP="0015621E">
      <w:pPr>
        <w:ind w:firstLine="720"/>
        <w:rPr>
          <w:color w:val="0E101A"/>
        </w:rPr>
      </w:pPr>
      <w:r w:rsidRPr="0015621E">
        <w:rPr>
          <w:rStyle w:val="Strong"/>
          <w:color w:val="0E101A"/>
        </w:rPr>
        <w:t>Review:</w:t>
      </w:r>
      <w:r w:rsidRPr="0015621E">
        <w:rPr>
          <w:color w:val="0E101A"/>
        </w:rPr>
        <w:t xml:space="preserve"> The International Society for Technology in Education (ISTE) outlines essential principles in its position statement on the acceptable use of technology in education. The document emphasizes equitable access to technology, digital citizenship, and integrating technology into the curriculum to enhance learning outcomes. ISTE advocates for policies that protect student privacy and data foster critical thinking and promote responsible use of digital resources.</w:t>
      </w:r>
      <w:r w:rsidR="0015621E" w:rsidRPr="0015621E">
        <w:t xml:space="preserve"> </w:t>
      </w:r>
      <w:r w:rsidRPr="0015621E">
        <w:rPr>
          <w:color w:val="0E101A"/>
        </w:rPr>
        <w:t xml:space="preserve">Emerging trends highlighted include the increasing need for digital literacy as a core component of the educational curriculum and the growing concern over student data privacy. The position statement stresses that </w:t>
      </w:r>
      <w:r w:rsidRPr="0015621E">
        <w:rPr>
          <w:color w:val="0E101A"/>
        </w:rPr>
        <w:lastRenderedPageBreak/>
        <w:t>educators must have the skills and knowledge to guide students in navigating digital environments safely and ethically. Additionally, there is a focus on the role of technology in personalized learning, where technology is used to tailor educational experiences to individual student needs.</w:t>
      </w:r>
      <w:r w:rsidR="0015621E" w:rsidRPr="0015621E">
        <w:t xml:space="preserve"> </w:t>
      </w:r>
      <w:r w:rsidRPr="0015621E">
        <w:rPr>
          <w:color w:val="0E101A"/>
        </w:rPr>
        <w:t xml:space="preserve">Practically, this literature underscores the need for schools to develop comprehensive acceptable use policies (AUPs) that balance technology integration with safeguards against misuse. It suggests that schools invest in professional development for teachers to ensure they can effectively incorporate technology into their </w:t>
      </w:r>
      <w:r w:rsidRPr="0015621E">
        <w:rPr>
          <w:color w:val="0E101A"/>
        </w:rPr>
        <w:lastRenderedPageBreak/>
        <w:t>teaching practices while fostering a culture of digital responsibility among students.</w:t>
      </w:r>
      <w:r w:rsidR="0015621E">
        <w:rPr>
          <w:color w:val="0E101A"/>
        </w:rPr>
        <w:t xml:space="preserve"> </w:t>
      </w:r>
    </w:p>
    <w:p w14:paraId="6D043045" w14:textId="77777777" w:rsidR="0015621E" w:rsidRDefault="00A05067" w:rsidP="0015621E">
      <w:pPr>
        <w:rPr>
          <w:b/>
          <w:bCs/>
          <w:color w:val="0E101A"/>
        </w:rPr>
      </w:pPr>
      <w:r w:rsidRPr="0015621E">
        <w:rPr>
          <w:b/>
          <w:bCs/>
          <w:color w:val="0E101A"/>
        </w:rPr>
        <w:t>Reference 2: Research Article on Cyber Security in Schools</w:t>
      </w:r>
    </w:p>
    <w:p w14:paraId="1746F335" w14:textId="2CE1C9B7" w:rsidR="00A05067" w:rsidRPr="0015621E" w:rsidRDefault="00A05067" w:rsidP="0015621E">
      <w:pPr>
        <w:ind w:firstLine="720"/>
      </w:pPr>
      <w:r w:rsidRPr="0015621E">
        <w:rPr>
          <w:rStyle w:val="Strong"/>
          <w:color w:val="0E101A"/>
        </w:rPr>
        <w:t>Review:</w:t>
      </w:r>
      <w:r w:rsidRPr="0015621E">
        <w:rPr>
          <w:b/>
          <w:bCs/>
          <w:color w:val="0E101A"/>
        </w:rPr>
        <w:t xml:space="preserve"> </w:t>
      </w:r>
      <w:r w:rsidRPr="0015621E">
        <w:rPr>
          <w:color w:val="0E101A"/>
        </w:rPr>
        <w:t>A research article by Johnson and Willey (2022) titled "Cybersecurity Threats in K-12 Schools: Prevention and Response" provides an in-depth analysis of cybersecurity challenges faced by educational institutions. The article explores various threats, including phishing attacks, ransomware, and unauthorized data access, and discusses strategies for mitigating these risks. The authors highlight the importance of a proactive cybersecurity approach involving regular risk assessments, staff training, and robust security measures.</w:t>
      </w:r>
      <w:r w:rsidRPr="0015621E">
        <w:rPr>
          <w:color w:val="0E101A"/>
        </w:rPr>
        <w:t xml:space="preserve"> </w:t>
      </w:r>
      <w:r w:rsidRPr="0015621E">
        <w:rPr>
          <w:color w:val="0E101A"/>
        </w:rPr>
        <w:t xml:space="preserve">One significant emerging issue identified is the increasing sophistication of cyber-attacks targeting schools, often exploiting vulnerabilities in outdated </w:t>
      </w:r>
      <w:r w:rsidRPr="0015621E">
        <w:rPr>
          <w:color w:val="0E101A"/>
        </w:rPr>
        <w:lastRenderedPageBreak/>
        <w:t>software and inadequately secured networks. The research also points out cybersecurity education's critical role for students and staff, emphasizing that awareness and preparedness are crucial to preventing breaches.</w:t>
      </w:r>
      <w:r w:rsidR="0015621E" w:rsidRPr="0015621E">
        <w:t xml:space="preserve"> </w:t>
      </w:r>
      <w:r w:rsidRPr="0015621E">
        <w:rPr>
          <w:color w:val="0E101A"/>
        </w:rPr>
        <w:t>This literature is practically applicable to schools, underscoring the necessity of investing in up-to-date security infrastructure and fostering a culture of vigilance. Schools should implement comprehensive cybersecurity training programs and develop incident response plans to quickly address potential breaches. The research supports the need for collaboration with cybersecurity experts to review and update security protocols regularly.</w:t>
      </w:r>
    </w:p>
    <w:p w14:paraId="005B1934" w14:textId="77777777" w:rsidR="0015621E" w:rsidRDefault="00A05067" w:rsidP="0015621E">
      <w:pPr>
        <w:pStyle w:val="Heading3"/>
      </w:pPr>
      <w:r>
        <w:lastRenderedPageBreak/>
        <w:t>Reference 3: Opinion Piece on Digital Citizenship</w:t>
      </w:r>
    </w:p>
    <w:p w14:paraId="10E7186F" w14:textId="41E282F5" w:rsidR="00A05067" w:rsidRDefault="0015621E" w:rsidP="0015621E">
      <w:pPr>
        <w:pStyle w:val="Heading3"/>
      </w:pPr>
      <w:r>
        <w:lastRenderedPageBreak/>
        <w:tab/>
      </w:r>
      <w:r w:rsidR="00A05067" w:rsidRPr="0015621E">
        <w:rPr>
          <w:rStyle w:val="Strong"/>
          <w:b/>
          <w:bCs w:val="0"/>
        </w:rPr>
        <w:t>Review:</w:t>
      </w:r>
      <w:r w:rsidR="00A05067">
        <w:t xml:space="preserve"> </w:t>
      </w:r>
      <w:r w:rsidR="00A05067" w:rsidRPr="0015621E">
        <w:rPr>
          <w:b w:val="0"/>
          <w:bCs/>
        </w:rPr>
        <w:t xml:space="preserve">An opinion piece by Garcia (2023) in </w:t>
      </w:r>
      <w:r w:rsidR="00A05067" w:rsidRPr="0015621E">
        <w:rPr>
          <w:rStyle w:val="Emphasis"/>
          <w:b w:val="0"/>
          <w:bCs/>
        </w:rPr>
        <w:t>Education Week</w:t>
      </w:r>
      <w:r w:rsidR="00A05067" w:rsidRPr="0015621E">
        <w:rPr>
          <w:b w:val="0"/>
          <w:bCs/>
        </w:rPr>
        <w:t xml:space="preserve"> titled "Why Digital Citizenship Matters More Than Ever in Schools" argues the importance of teaching digital citizenship in today's educational landscape. Garcia discusses the role of schools in equipping students with the skills to navigate online environments responsibly and ethically. The piece emphasizes the necessity of integrating digital citizenship education into the broader curriculum rather than treating it as an add-on.</w:t>
      </w:r>
      <w:r w:rsidR="00A05067" w:rsidRPr="0015621E">
        <w:rPr>
          <w:b w:val="0"/>
          <w:bCs/>
        </w:rPr>
        <w:t xml:space="preserve"> </w:t>
      </w:r>
      <w:r w:rsidR="00A05067" w:rsidRPr="0015621E">
        <w:rPr>
          <w:b w:val="0"/>
          <w:bCs/>
        </w:rPr>
        <w:t xml:space="preserve">Emerging trends highlighted include the rise of social media and its impact on student behavior, the proliferation of misinformation, and the need for critical media literacy. Garcia argues that as students </w:t>
      </w:r>
      <w:r w:rsidR="00A05067" w:rsidRPr="0015621E">
        <w:rPr>
          <w:b w:val="0"/>
          <w:bCs/>
        </w:rPr>
        <w:lastRenderedPageBreak/>
        <w:t>increasingly rely on digital platforms for learning and social interaction, schools must address issues such as online etiquette, cyberbullying, and the ethical use of information.</w:t>
      </w:r>
      <w:r w:rsidR="00A05067" w:rsidRPr="0015621E">
        <w:rPr>
          <w:b w:val="0"/>
          <w:bCs/>
        </w:rPr>
        <w:t xml:space="preserve"> </w:t>
      </w:r>
      <w:r w:rsidR="00A05067" w:rsidRPr="0015621E">
        <w:rPr>
          <w:b w:val="0"/>
          <w:bCs/>
        </w:rPr>
        <w:t>Practically, this opinion piece suggests that schools develop comprehensive programs that</w:t>
      </w:r>
      <w:r w:rsidR="00A05067" w:rsidRPr="0015621E">
        <w:rPr>
          <w:b w:val="0"/>
          <w:bCs/>
        </w:rPr>
        <w:t xml:space="preserve"> </w:t>
      </w:r>
      <w:r w:rsidR="00A05067" w:rsidRPr="0015621E">
        <w:rPr>
          <w:b w:val="0"/>
          <w:bCs/>
        </w:rPr>
        <w:t>incorporate digital citizenship across various subjects. Educators should be trained to model and teach responsible online behavior, and schools should create policies that promote a safe and respectful digital environment. The literature highlights the importance of collaboration between educators, parents, and the community to support students in becoming responsible digital citizens.</w:t>
      </w:r>
    </w:p>
    <w:p w14:paraId="53553902" w14:textId="77777777" w:rsidR="00A05067" w:rsidRDefault="00A05067" w:rsidP="00A05067">
      <w:pPr>
        <w:pStyle w:val="NormalWeb"/>
        <w:spacing w:before="0" w:beforeAutospacing="0" w:after="0" w:afterAutospacing="0"/>
        <w:rPr>
          <w:rStyle w:val="Strong"/>
          <w:color w:val="0E101A"/>
        </w:rPr>
      </w:pPr>
    </w:p>
    <w:p w14:paraId="4166E88A" w14:textId="77777777" w:rsidR="00A05067" w:rsidRDefault="00A05067" w:rsidP="00A05067">
      <w:pPr>
        <w:pStyle w:val="NormalWeb"/>
        <w:spacing w:before="0" w:beforeAutospacing="0" w:after="0" w:afterAutospacing="0"/>
        <w:rPr>
          <w:rStyle w:val="Strong"/>
          <w:color w:val="0E101A"/>
        </w:rPr>
      </w:pPr>
    </w:p>
    <w:p w14:paraId="5B2DD8C0" w14:textId="77777777" w:rsidR="00A05067" w:rsidRDefault="00A05067" w:rsidP="00A05067">
      <w:pPr>
        <w:pStyle w:val="NormalWeb"/>
        <w:spacing w:before="0" w:beforeAutospacing="0" w:after="0" w:afterAutospacing="0"/>
        <w:rPr>
          <w:rStyle w:val="Strong"/>
          <w:color w:val="0E101A"/>
        </w:rPr>
      </w:pPr>
    </w:p>
    <w:p w14:paraId="64B1E7CD" w14:textId="77777777" w:rsidR="0015621E" w:rsidRDefault="0015621E" w:rsidP="00A05067">
      <w:pPr>
        <w:pStyle w:val="NormalWeb"/>
        <w:spacing w:before="0" w:beforeAutospacing="0" w:after="0" w:afterAutospacing="0"/>
        <w:rPr>
          <w:rStyle w:val="Strong"/>
          <w:color w:val="0E101A"/>
        </w:rPr>
      </w:pPr>
    </w:p>
    <w:p w14:paraId="33DA8054" w14:textId="77777777" w:rsidR="0015621E" w:rsidRDefault="0015621E" w:rsidP="00A05067">
      <w:pPr>
        <w:pStyle w:val="NormalWeb"/>
        <w:spacing w:before="0" w:beforeAutospacing="0" w:after="0" w:afterAutospacing="0"/>
        <w:rPr>
          <w:rStyle w:val="Strong"/>
          <w:color w:val="0E101A"/>
        </w:rPr>
      </w:pPr>
    </w:p>
    <w:p w14:paraId="3E68E2DD" w14:textId="77777777" w:rsidR="0015621E" w:rsidRDefault="0015621E" w:rsidP="00A05067">
      <w:pPr>
        <w:pStyle w:val="NormalWeb"/>
        <w:spacing w:before="0" w:beforeAutospacing="0" w:after="0" w:afterAutospacing="0"/>
        <w:rPr>
          <w:rStyle w:val="Strong"/>
          <w:color w:val="0E101A"/>
        </w:rPr>
      </w:pPr>
    </w:p>
    <w:p w14:paraId="5AE20622" w14:textId="77777777" w:rsidR="0015621E" w:rsidRDefault="0015621E" w:rsidP="00A05067">
      <w:pPr>
        <w:pStyle w:val="NormalWeb"/>
        <w:spacing w:before="0" w:beforeAutospacing="0" w:after="0" w:afterAutospacing="0"/>
        <w:rPr>
          <w:rStyle w:val="Strong"/>
          <w:color w:val="0E101A"/>
        </w:rPr>
      </w:pPr>
    </w:p>
    <w:p w14:paraId="4E89680D" w14:textId="77777777" w:rsidR="0015621E" w:rsidRDefault="0015621E" w:rsidP="00A05067">
      <w:pPr>
        <w:pStyle w:val="NormalWeb"/>
        <w:spacing w:before="0" w:beforeAutospacing="0" w:after="0" w:afterAutospacing="0"/>
        <w:rPr>
          <w:rStyle w:val="Strong"/>
          <w:color w:val="0E101A"/>
        </w:rPr>
      </w:pPr>
    </w:p>
    <w:p w14:paraId="3E4D0DC9" w14:textId="2D16B9A7" w:rsidR="00A05067" w:rsidRDefault="00A05067" w:rsidP="00A05067">
      <w:pPr>
        <w:pStyle w:val="NormalWeb"/>
        <w:spacing w:before="0" w:beforeAutospacing="0" w:after="0" w:afterAutospacing="0"/>
        <w:jc w:val="center"/>
        <w:rPr>
          <w:rStyle w:val="Strong"/>
          <w:color w:val="0E101A"/>
        </w:rPr>
      </w:pPr>
      <w:r>
        <w:rPr>
          <w:rStyle w:val="Strong"/>
          <w:color w:val="0E101A"/>
        </w:rPr>
        <w:t>Reference:</w:t>
      </w:r>
    </w:p>
    <w:p w14:paraId="49B4A33D" w14:textId="77777777" w:rsidR="00A05067" w:rsidRDefault="00A05067" w:rsidP="00A05067">
      <w:pPr>
        <w:pStyle w:val="NormalWeb"/>
        <w:spacing w:before="0" w:beforeAutospacing="0" w:after="0" w:afterAutospacing="0"/>
        <w:jc w:val="center"/>
        <w:rPr>
          <w:rStyle w:val="Strong"/>
          <w:color w:val="0E101A"/>
        </w:rPr>
      </w:pPr>
    </w:p>
    <w:p w14:paraId="0590B337" w14:textId="21346CCE" w:rsidR="00A93C44" w:rsidRDefault="00A05067" w:rsidP="0015621E">
      <w:pPr>
        <w:pStyle w:val="NormalWeb"/>
        <w:spacing w:before="0" w:beforeAutospacing="0" w:after="0" w:afterAutospacing="0" w:line="480" w:lineRule="auto"/>
        <w:rPr>
          <w:color w:val="0E101A"/>
        </w:rPr>
      </w:pPr>
      <w:r>
        <w:rPr>
          <w:color w:val="0E101A"/>
        </w:rPr>
        <w:t xml:space="preserve">Garcia, L. (2023). Why Digital Citizenship Matters More Than Ever in Schools. </w:t>
      </w:r>
      <w:r>
        <w:rPr>
          <w:rStyle w:val="Emphasis"/>
          <w:color w:val="0E101A"/>
        </w:rPr>
        <w:t>Education</w:t>
      </w:r>
      <w:r w:rsidR="0015621E">
        <w:rPr>
          <w:rStyle w:val="Emphasis"/>
          <w:color w:val="0E101A"/>
        </w:rPr>
        <w:tab/>
      </w:r>
      <w:r w:rsidR="0015621E">
        <w:rPr>
          <w:rStyle w:val="Emphasis"/>
          <w:color w:val="0E101A"/>
        </w:rPr>
        <w:tab/>
      </w:r>
      <w:r>
        <w:rPr>
          <w:rStyle w:val="Emphasis"/>
          <w:color w:val="0E101A"/>
        </w:rPr>
        <w:t xml:space="preserve"> Week</w:t>
      </w:r>
      <w:r>
        <w:rPr>
          <w:color w:val="0E101A"/>
        </w:rPr>
        <w:t>. Retrieved from</w:t>
      </w:r>
      <w:r w:rsidRPr="0015621E">
        <w:rPr>
          <w:color w:val="0E101A"/>
        </w:rPr>
        <w:t xml:space="preserve"> </w:t>
      </w:r>
      <w:hyperlink r:id="rId12" w:history="1">
        <w:r w:rsidR="0015621E" w:rsidRPr="0015621E">
          <w:rPr>
            <w:rStyle w:val="Hyperlink"/>
            <w:u w:val="none"/>
          </w:rPr>
          <w:t>https://www.edweek.org/teaching-learning/why-digital-</w:t>
        </w:r>
        <w:r w:rsidR="0015621E" w:rsidRPr="0015621E">
          <w:rPr>
            <w:rStyle w:val="Hyperlink"/>
            <w:u w:val="none"/>
          </w:rPr>
          <w:tab/>
        </w:r>
        <w:r w:rsidR="0015621E" w:rsidRPr="0015621E">
          <w:rPr>
            <w:rStyle w:val="Hyperlink"/>
            <w:u w:val="none"/>
          </w:rPr>
          <w:t>citizenship-matters-more-than-ever-in-schools/2023/04</w:t>
        </w:r>
      </w:hyperlink>
    </w:p>
    <w:p w14:paraId="4DCB2A7B" w14:textId="41D4444B" w:rsidR="00A05067" w:rsidRDefault="00A05067" w:rsidP="0015621E">
      <w:pPr>
        <w:pStyle w:val="NormalWeb"/>
        <w:spacing w:before="0" w:beforeAutospacing="0" w:after="0" w:afterAutospacing="0" w:line="480" w:lineRule="auto"/>
        <w:rPr>
          <w:color w:val="0E101A"/>
        </w:rPr>
      </w:pPr>
      <w:r>
        <w:rPr>
          <w:color w:val="0E101A"/>
        </w:rPr>
        <w:t xml:space="preserve">Johnson, M., &amp; Willey, P. (2022). Cybersecurity Threats in K-12 Schools: Prevention and </w:t>
      </w:r>
      <w:r w:rsidR="0015621E">
        <w:rPr>
          <w:color w:val="0E101A"/>
        </w:rPr>
        <w:tab/>
      </w:r>
      <w:r>
        <w:rPr>
          <w:color w:val="0E101A"/>
        </w:rPr>
        <w:t xml:space="preserve">Response. Journal of Educational Technology &amp; Society, 25(1), 45-57. Retrieved from </w:t>
      </w:r>
      <w:r w:rsidR="0015621E">
        <w:rPr>
          <w:color w:val="0E101A"/>
        </w:rPr>
        <w:tab/>
      </w:r>
      <w:hyperlink r:id="rId13" w:history="1">
        <w:r w:rsidR="0015621E" w:rsidRPr="000E3B46">
          <w:rPr>
            <w:rStyle w:val="Hyperlink"/>
          </w:rPr>
          <w:t>https://www.jets.org/articles/25145</w:t>
        </w:r>
      </w:hyperlink>
    </w:p>
    <w:p w14:paraId="384A9812" w14:textId="66341FFB" w:rsidR="0015621E" w:rsidRPr="00A05067" w:rsidRDefault="0015621E" w:rsidP="0015621E">
      <w:pPr>
        <w:pStyle w:val="NormalWeb"/>
        <w:spacing w:before="0" w:beforeAutospacing="0" w:after="0" w:afterAutospacing="0" w:line="480" w:lineRule="auto"/>
        <w:rPr>
          <w:color w:val="0E101A"/>
        </w:rPr>
      </w:pPr>
      <w:r>
        <w:rPr>
          <w:color w:val="0E101A"/>
        </w:rPr>
        <w:t xml:space="preserve">International Society for Technology in Education. (2016). ISTE Standards for Students. </w:t>
      </w:r>
      <w:r>
        <w:rPr>
          <w:color w:val="0E101A"/>
        </w:rPr>
        <w:tab/>
      </w:r>
      <w:r>
        <w:rPr>
          <w:color w:val="0E101A"/>
        </w:rPr>
        <w:t xml:space="preserve">Retrieved from </w:t>
      </w:r>
      <w:proofErr w:type="gramStart"/>
      <w:r>
        <w:rPr>
          <w:color w:val="0E101A"/>
        </w:rPr>
        <w:t>https://www.iste.org/standards/iste-standards-for-students</w:t>
      </w:r>
      <w:proofErr w:type="gramEnd"/>
    </w:p>
    <w:bookmarkEnd w:id="0"/>
    <w:bookmarkEnd w:id="1"/>
    <w:bookmarkEnd w:id="2"/>
    <w:p w14:paraId="0CDA9D88" w14:textId="20A8104A" w:rsidR="00EF61EA" w:rsidRPr="0015621E" w:rsidRDefault="00EF61EA" w:rsidP="0015621E">
      <w:pPr>
        <w:rPr>
          <w:rFonts w:eastAsiaTheme="majorEastAsia"/>
          <w:szCs w:val="28"/>
        </w:rPr>
      </w:pPr>
    </w:p>
    <w:p w14:paraId="39DA1C29" w14:textId="77777777" w:rsidR="0048176F" w:rsidRPr="00651B5D" w:rsidRDefault="0048176F" w:rsidP="00F31F38">
      <w:pPr>
        <w:ind w:left="720" w:hanging="720"/>
        <w:rPr>
          <w:rFonts w:cs="Times New Roman"/>
          <w:szCs w:val="24"/>
        </w:rPr>
      </w:pPr>
    </w:p>
    <w:sectPr w:rsidR="0048176F" w:rsidRPr="00651B5D">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37CF36" w14:textId="77777777" w:rsidR="00E87622" w:rsidRDefault="00E87622" w:rsidP="00E04474">
      <w:pPr>
        <w:spacing w:line="240" w:lineRule="auto"/>
      </w:pPr>
      <w:r>
        <w:separator/>
      </w:r>
    </w:p>
  </w:endnote>
  <w:endnote w:type="continuationSeparator" w:id="0">
    <w:p w14:paraId="1AAB05A5" w14:textId="77777777" w:rsidR="00E87622" w:rsidRDefault="00E87622" w:rsidP="00E04474">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A5467F" w14:textId="77777777" w:rsidR="00C12D39" w:rsidRDefault="00C12D39">
    <w:pPr>
      <w:pStyle w:val="Footer"/>
    </w:pPr>
  </w:p>
  <w:p w14:paraId="568E55E5" w14:textId="77777777" w:rsidR="00C12D39" w:rsidRDefault="00C12D3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551CEE" w14:textId="77777777" w:rsidR="00C12D39" w:rsidRDefault="00C12D39" w:rsidP="003C1FD2">
    <w:pPr>
      <w:pStyle w:val="Footer"/>
    </w:pPr>
  </w:p>
  <w:p w14:paraId="6F43ADC0" w14:textId="77777777" w:rsidR="00C12D39" w:rsidRDefault="00C12D39">
    <w:pPr>
      <w:pStyle w:val="Footer"/>
    </w:pPr>
  </w:p>
  <w:p w14:paraId="126D900B" w14:textId="77777777" w:rsidR="00C12D39" w:rsidRDefault="00C12D3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973ACC8" w14:textId="77777777" w:rsidR="00E87622" w:rsidRDefault="00E87622" w:rsidP="00E04474">
      <w:pPr>
        <w:spacing w:line="240" w:lineRule="auto"/>
      </w:pPr>
      <w:r>
        <w:separator/>
      </w:r>
    </w:p>
  </w:footnote>
  <w:footnote w:type="continuationSeparator" w:id="0">
    <w:p w14:paraId="382FCC43" w14:textId="77777777" w:rsidR="00E87622" w:rsidRDefault="00E87622" w:rsidP="00E04474">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6536830" w14:textId="15285468" w:rsidR="00F31F38" w:rsidRDefault="00A93C44">
    <w:pPr>
      <w:pStyle w:val="Header"/>
      <w:jc w:val="right"/>
    </w:pPr>
    <w:r>
      <w:rPr>
        <w:szCs w:val="24"/>
      </w:rPr>
      <w:t>PROFESSIONAL NORMS KNOWLEDGE BASE</w:t>
    </w:r>
    <w:r w:rsidR="00F31F38">
      <w:rPr>
        <w:szCs w:val="24"/>
      </w:rPr>
      <w:tab/>
    </w:r>
    <w:r w:rsidR="00F31F38">
      <w:rPr>
        <w:szCs w:val="24"/>
      </w:rPr>
      <w:tab/>
    </w:r>
    <w:sdt>
      <w:sdtPr>
        <w:id w:val="1310051695"/>
        <w:docPartObj>
          <w:docPartGallery w:val="Page Numbers (Top of Page)"/>
          <w:docPartUnique/>
        </w:docPartObj>
      </w:sdtPr>
      <w:sdtEndPr>
        <w:rPr>
          <w:noProof/>
        </w:rPr>
      </w:sdtEndPr>
      <w:sdtContent>
        <w:r w:rsidR="00F31F38">
          <w:fldChar w:fldCharType="begin"/>
        </w:r>
        <w:r w:rsidR="00F31F38">
          <w:instrText xml:space="preserve"> PAGE   \* MERGEFORMAT </w:instrText>
        </w:r>
        <w:r w:rsidR="00F31F38">
          <w:fldChar w:fldCharType="separate"/>
        </w:r>
        <w:r w:rsidR="002E2193">
          <w:rPr>
            <w:noProof/>
          </w:rPr>
          <w:t>2</w:t>
        </w:r>
        <w:r w:rsidR="00F31F38">
          <w:rPr>
            <w:noProof/>
          </w:rPr>
          <w:fldChar w:fldCharType="end"/>
        </w:r>
      </w:sdtContent>
    </w:sdt>
  </w:p>
  <w:p w14:paraId="18D0AFEA" w14:textId="77777777" w:rsidR="00C12D39" w:rsidRDefault="00C12D39">
    <w:pPr>
      <w:pStyle w:val="BodyText"/>
      <w:spacing w:line="14" w:lineRule="auto"/>
      <w:rPr>
        <w:sz w:val="2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DD9786" w14:textId="77777777" w:rsidR="00C12D39" w:rsidRDefault="00C12D39">
    <w:pPr>
      <w:pStyle w:val="Header"/>
      <w:jc w:val="right"/>
    </w:pPr>
    <w:r>
      <w:rPr>
        <w:szCs w:val="24"/>
      </w:rPr>
      <w:fldChar w:fldCharType="begin"/>
    </w:r>
    <w:r>
      <w:rPr>
        <w:szCs w:val="24"/>
      </w:rPr>
      <w:instrText xml:space="preserve"> MACROBUTTON Noname &lt;Insert SHORTENED TITLE&gt; </w:instrText>
    </w:r>
    <w:r>
      <w:rPr>
        <w:szCs w:val="24"/>
      </w:rPr>
      <w:fldChar w:fldCharType="end"/>
    </w:r>
    <w:r>
      <w:rPr>
        <w:szCs w:val="24"/>
      </w:rPr>
      <w:tab/>
    </w:r>
    <w:r>
      <w:rPr>
        <w:szCs w:val="24"/>
      </w:rPr>
      <w:tab/>
    </w:r>
    <w:sdt>
      <w:sdtPr>
        <w:id w:val="-1942594977"/>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2</w:t>
        </w:r>
        <w:r>
          <w:rPr>
            <w:noProof/>
          </w:rPr>
          <w:fldChar w:fldCharType="end"/>
        </w:r>
      </w:sdtContent>
    </w:sdt>
  </w:p>
  <w:p w14:paraId="5D0ADB80" w14:textId="77777777" w:rsidR="00C12D39" w:rsidRDefault="00C12D3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8DBE28E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1FC17BA"/>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3C8E81E2"/>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8F6498CC"/>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25BE6E66"/>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1894656A"/>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66FEACF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802C8576"/>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39E4760"/>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0FA0C50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3FD32CC"/>
    <w:multiLevelType w:val="hybridMultilevel"/>
    <w:tmpl w:val="E79A7A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F1B2732"/>
    <w:multiLevelType w:val="hybridMultilevel"/>
    <w:tmpl w:val="C26E79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B676D45"/>
    <w:multiLevelType w:val="hybridMultilevel"/>
    <w:tmpl w:val="234EB2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CA0502A"/>
    <w:multiLevelType w:val="hybridMultilevel"/>
    <w:tmpl w:val="51327D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5881CD7"/>
    <w:multiLevelType w:val="hybridMultilevel"/>
    <w:tmpl w:val="2828E0F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5" w15:restartNumberingAfterBreak="0">
    <w:nsid w:val="30916A4C"/>
    <w:multiLevelType w:val="hybridMultilevel"/>
    <w:tmpl w:val="4B78CA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A68674D"/>
    <w:multiLevelType w:val="hybridMultilevel"/>
    <w:tmpl w:val="6AF485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CAA7473"/>
    <w:multiLevelType w:val="hybridMultilevel"/>
    <w:tmpl w:val="54F6CA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27F5054"/>
    <w:multiLevelType w:val="hybridMultilevel"/>
    <w:tmpl w:val="F426DF8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60D3085"/>
    <w:multiLevelType w:val="multilevel"/>
    <w:tmpl w:val="3D381F5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47024F1B"/>
    <w:multiLevelType w:val="hybridMultilevel"/>
    <w:tmpl w:val="2688BA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4F7F7AE8"/>
    <w:multiLevelType w:val="hybridMultilevel"/>
    <w:tmpl w:val="BDE8FF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EAA606D"/>
    <w:multiLevelType w:val="hybridMultilevel"/>
    <w:tmpl w:val="3698F4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B17666E"/>
    <w:multiLevelType w:val="hybridMultilevel"/>
    <w:tmpl w:val="B60EE4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954706804">
    <w:abstractNumId w:val="22"/>
  </w:num>
  <w:num w:numId="2" w16cid:durableId="912355914">
    <w:abstractNumId w:val="9"/>
  </w:num>
  <w:num w:numId="3" w16cid:durableId="1891500314">
    <w:abstractNumId w:val="7"/>
  </w:num>
  <w:num w:numId="4" w16cid:durableId="451674795">
    <w:abstractNumId w:val="6"/>
  </w:num>
  <w:num w:numId="5" w16cid:durableId="2002732000">
    <w:abstractNumId w:val="5"/>
  </w:num>
  <w:num w:numId="6" w16cid:durableId="368188795">
    <w:abstractNumId w:val="4"/>
  </w:num>
  <w:num w:numId="7" w16cid:durableId="939716">
    <w:abstractNumId w:val="8"/>
  </w:num>
  <w:num w:numId="8" w16cid:durableId="1606185021">
    <w:abstractNumId w:val="3"/>
  </w:num>
  <w:num w:numId="9" w16cid:durableId="2116552287">
    <w:abstractNumId w:val="2"/>
  </w:num>
  <w:num w:numId="10" w16cid:durableId="1087995483">
    <w:abstractNumId w:val="1"/>
  </w:num>
  <w:num w:numId="11" w16cid:durableId="1419788458">
    <w:abstractNumId w:val="0"/>
  </w:num>
  <w:num w:numId="12" w16cid:durableId="79063459">
    <w:abstractNumId w:val="19"/>
  </w:num>
  <w:num w:numId="13" w16cid:durableId="995301446">
    <w:abstractNumId w:val="14"/>
  </w:num>
  <w:num w:numId="14" w16cid:durableId="316735697">
    <w:abstractNumId w:val="20"/>
  </w:num>
  <w:num w:numId="15" w16cid:durableId="1526286923">
    <w:abstractNumId w:val="11"/>
  </w:num>
  <w:num w:numId="16" w16cid:durableId="1394506122">
    <w:abstractNumId w:val="12"/>
  </w:num>
  <w:num w:numId="17" w16cid:durableId="421486693">
    <w:abstractNumId w:val="23"/>
  </w:num>
  <w:num w:numId="18" w16cid:durableId="2057922509">
    <w:abstractNumId w:val="13"/>
  </w:num>
  <w:num w:numId="19" w16cid:durableId="392434795">
    <w:abstractNumId w:val="21"/>
  </w:num>
  <w:num w:numId="20" w16cid:durableId="613027074">
    <w:abstractNumId w:val="15"/>
  </w:num>
  <w:num w:numId="21" w16cid:durableId="1845389530">
    <w:abstractNumId w:val="10"/>
  </w:num>
  <w:num w:numId="22" w16cid:durableId="2021420696">
    <w:abstractNumId w:val="17"/>
  </w:num>
  <w:num w:numId="23" w16cid:durableId="1667972261">
    <w:abstractNumId w:val="16"/>
  </w:num>
  <w:num w:numId="24" w16cid:durableId="1903785285">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attachedTemplate r:id="rId1"/>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stylePaneSortMethod w:val="00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sjA2MDMwNjA2NTOxsDBV0lEKTi0uzszPAykwrAUA6Ax+XCwAAAA="/>
  </w:docVars>
  <w:rsids>
    <w:rsidRoot w:val="00A93C44"/>
    <w:rsid w:val="00021811"/>
    <w:rsid w:val="00023E3A"/>
    <w:rsid w:val="00023E42"/>
    <w:rsid w:val="00033212"/>
    <w:rsid w:val="000343F3"/>
    <w:rsid w:val="00044E21"/>
    <w:rsid w:val="00047FAB"/>
    <w:rsid w:val="00055B6A"/>
    <w:rsid w:val="00073B2D"/>
    <w:rsid w:val="00082B55"/>
    <w:rsid w:val="00090421"/>
    <w:rsid w:val="000A6112"/>
    <w:rsid w:val="000B04FC"/>
    <w:rsid w:val="000D1F02"/>
    <w:rsid w:val="000E18E3"/>
    <w:rsid w:val="0010378B"/>
    <w:rsid w:val="001104C0"/>
    <w:rsid w:val="00125D38"/>
    <w:rsid w:val="001412C7"/>
    <w:rsid w:val="00152B8B"/>
    <w:rsid w:val="001532A0"/>
    <w:rsid w:val="0015621E"/>
    <w:rsid w:val="0015641F"/>
    <w:rsid w:val="0016274C"/>
    <w:rsid w:val="001879B7"/>
    <w:rsid w:val="001902CC"/>
    <w:rsid w:val="00194BEE"/>
    <w:rsid w:val="001B17D4"/>
    <w:rsid w:val="001B2E46"/>
    <w:rsid w:val="001B4D85"/>
    <w:rsid w:val="001B688F"/>
    <w:rsid w:val="001E7402"/>
    <w:rsid w:val="001F5D7E"/>
    <w:rsid w:val="001F5E61"/>
    <w:rsid w:val="001F5F3C"/>
    <w:rsid w:val="0022381A"/>
    <w:rsid w:val="00227EF9"/>
    <w:rsid w:val="0025509E"/>
    <w:rsid w:val="002657DD"/>
    <w:rsid w:val="00276CD1"/>
    <w:rsid w:val="00280EA0"/>
    <w:rsid w:val="00281450"/>
    <w:rsid w:val="00285EBC"/>
    <w:rsid w:val="0029067A"/>
    <w:rsid w:val="0029690B"/>
    <w:rsid w:val="002A22A6"/>
    <w:rsid w:val="002A4423"/>
    <w:rsid w:val="002A6696"/>
    <w:rsid w:val="002B6302"/>
    <w:rsid w:val="002B6478"/>
    <w:rsid w:val="002C6F23"/>
    <w:rsid w:val="002E12F9"/>
    <w:rsid w:val="002E2193"/>
    <w:rsid w:val="002E2AF6"/>
    <w:rsid w:val="00323B8A"/>
    <w:rsid w:val="0033525D"/>
    <w:rsid w:val="00342A11"/>
    <w:rsid w:val="00351262"/>
    <w:rsid w:val="00353D7A"/>
    <w:rsid w:val="00382C6C"/>
    <w:rsid w:val="00384130"/>
    <w:rsid w:val="003856B4"/>
    <w:rsid w:val="003B6D3D"/>
    <w:rsid w:val="003C1FD2"/>
    <w:rsid w:val="003E7A7E"/>
    <w:rsid w:val="003F2BB2"/>
    <w:rsid w:val="004124DE"/>
    <w:rsid w:val="00423C35"/>
    <w:rsid w:val="0044467C"/>
    <w:rsid w:val="00454BE8"/>
    <w:rsid w:val="0048176F"/>
    <w:rsid w:val="00486B5B"/>
    <w:rsid w:val="00490FB5"/>
    <w:rsid w:val="00491330"/>
    <w:rsid w:val="004B3548"/>
    <w:rsid w:val="004E1AD4"/>
    <w:rsid w:val="004E5B9F"/>
    <w:rsid w:val="004F51EC"/>
    <w:rsid w:val="00531673"/>
    <w:rsid w:val="0053432F"/>
    <w:rsid w:val="00542556"/>
    <w:rsid w:val="005533E9"/>
    <w:rsid w:val="00566B7E"/>
    <w:rsid w:val="00573F0C"/>
    <w:rsid w:val="005A0400"/>
    <w:rsid w:val="005B4C58"/>
    <w:rsid w:val="005B6E55"/>
    <w:rsid w:val="005C00DF"/>
    <w:rsid w:val="005C7E52"/>
    <w:rsid w:val="005D3821"/>
    <w:rsid w:val="005E7373"/>
    <w:rsid w:val="005F3CDD"/>
    <w:rsid w:val="00644D7B"/>
    <w:rsid w:val="00646920"/>
    <w:rsid w:val="00651B5D"/>
    <w:rsid w:val="00661EE2"/>
    <w:rsid w:val="006840DF"/>
    <w:rsid w:val="00690452"/>
    <w:rsid w:val="006B4020"/>
    <w:rsid w:val="006C3849"/>
    <w:rsid w:val="007005F5"/>
    <w:rsid w:val="0070426D"/>
    <w:rsid w:val="007133E2"/>
    <w:rsid w:val="00732CB3"/>
    <w:rsid w:val="007450AE"/>
    <w:rsid w:val="00753123"/>
    <w:rsid w:val="00760A63"/>
    <w:rsid w:val="00784E5C"/>
    <w:rsid w:val="007862E2"/>
    <w:rsid w:val="007B78F0"/>
    <w:rsid w:val="007C2160"/>
    <w:rsid w:val="007C3F66"/>
    <w:rsid w:val="007C51BE"/>
    <w:rsid w:val="007D06D5"/>
    <w:rsid w:val="007E2C71"/>
    <w:rsid w:val="007E7F0E"/>
    <w:rsid w:val="007F1483"/>
    <w:rsid w:val="007F3E07"/>
    <w:rsid w:val="00803048"/>
    <w:rsid w:val="00804372"/>
    <w:rsid w:val="00811801"/>
    <w:rsid w:val="00831B0C"/>
    <w:rsid w:val="0085561F"/>
    <w:rsid w:val="008566FC"/>
    <w:rsid w:val="00856E59"/>
    <w:rsid w:val="008714AA"/>
    <w:rsid w:val="00872DA1"/>
    <w:rsid w:val="008771C1"/>
    <w:rsid w:val="00877A80"/>
    <w:rsid w:val="00877EF8"/>
    <w:rsid w:val="008833AE"/>
    <w:rsid w:val="008A2ED5"/>
    <w:rsid w:val="008A4400"/>
    <w:rsid w:val="008D3B74"/>
    <w:rsid w:val="008D3D84"/>
    <w:rsid w:val="008D5F0F"/>
    <w:rsid w:val="008E3AC1"/>
    <w:rsid w:val="008E4A24"/>
    <w:rsid w:val="008F2710"/>
    <w:rsid w:val="008F4A14"/>
    <w:rsid w:val="008F4DC2"/>
    <w:rsid w:val="008F545F"/>
    <w:rsid w:val="0090723A"/>
    <w:rsid w:val="009333ED"/>
    <w:rsid w:val="00940D48"/>
    <w:rsid w:val="0097266F"/>
    <w:rsid w:val="00977166"/>
    <w:rsid w:val="009901CA"/>
    <w:rsid w:val="009912AB"/>
    <w:rsid w:val="009C12F3"/>
    <w:rsid w:val="009D5498"/>
    <w:rsid w:val="009E5D16"/>
    <w:rsid w:val="009E6B80"/>
    <w:rsid w:val="00A0247C"/>
    <w:rsid w:val="00A05067"/>
    <w:rsid w:val="00A12EFB"/>
    <w:rsid w:val="00A4665F"/>
    <w:rsid w:val="00A621BE"/>
    <w:rsid w:val="00A741B1"/>
    <w:rsid w:val="00A84650"/>
    <w:rsid w:val="00A93C44"/>
    <w:rsid w:val="00AA1C79"/>
    <w:rsid w:val="00AA2925"/>
    <w:rsid w:val="00AB0758"/>
    <w:rsid w:val="00AD5122"/>
    <w:rsid w:val="00AE69BB"/>
    <w:rsid w:val="00AF2EAA"/>
    <w:rsid w:val="00B03C25"/>
    <w:rsid w:val="00B04281"/>
    <w:rsid w:val="00B273B5"/>
    <w:rsid w:val="00B44010"/>
    <w:rsid w:val="00B54AB3"/>
    <w:rsid w:val="00B57A74"/>
    <w:rsid w:val="00B714AD"/>
    <w:rsid w:val="00B827E7"/>
    <w:rsid w:val="00B874EA"/>
    <w:rsid w:val="00B920A8"/>
    <w:rsid w:val="00BA02D9"/>
    <w:rsid w:val="00BA627F"/>
    <w:rsid w:val="00BB0CDF"/>
    <w:rsid w:val="00BB2E5A"/>
    <w:rsid w:val="00BC0C74"/>
    <w:rsid w:val="00BD32F1"/>
    <w:rsid w:val="00BE004F"/>
    <w:rsid w:val="00BF6E53"/>
    <w:rsid w:val="00C01887"/>
    <w:rsid w:val="00C05DD7"/>
    <w:rsid w:val="00C078BF"/>
    <w:rsid w:val="00C1285A"/>
    <w:rsid w:val="00C12D39"/>
    <w:rsid w:val="00C22CF1"/>
    <w:rsid w:val="00C306C3"/>
    <w:rsid w:val="00C46744"/>
    <w:rsid w:val="00C80ECD"/>
    <w:rsid w:val="00C8760B"/>
    <w:rsid w:val="00C934F4"/>
    <w:rsid w:val="00C9382A"/>
    <w:rsid w:val="00C9640B"/>
    <w:rsid w:val="00CA4E07"/>
    <w:rsid w:val="00CA5280"/>
    <w:rsid w:val="00CA6043"/>
    <w:rsid w:val="00CB08C1"/>
    <w:rsid w:val="00CC5947"/>
    <w:rsid w:val="00CC66BA"/>
    <w:rsid w:val="00CE0EBC"/>
    <w:rsid w:val="00CE2A8C"/>
    <w:rsid w:val="00CF3A12"/>
    <w:rsid w:val="00CF7E06"/>
    <w:rsid w:val="00D06188"/>
    <w:rsid w:val="00D1142D"/>
    <w:rsid w:val="00D227F9"/>
    <w:rsid w:val="00D27C4A"/>
    <w:rsid w:val="00D30A3B"/>
    <w:rsid w:val="00D43886"/>
    <w:rsid w:val="00D5168B"/>
    <w:rsid w:val="00D54652"/>
    <w:rsid w:val="00D627BA"/>
    <w:rsid w:val="00D86C45"/>
    <w:rsid w:val="00D971F4"/>
    <w:rsid w:val="00DA062C"/>
    <w:rsid w:val="00DB1C7E"/>
    <w:rsid w:val="00DB63BE"/>
    <w:rsid w:val="00DC0A20"/>
    <w:rsid w:val="00DC1924"/>
    <w:rsid w:val="00DC7EA9"/>
    <w:rsid w:val="00DD03B2"/>
    <w:rsid w:val="00DD06E2"/>
    <w:rsid w:val="00E04474"/>
    <w:rsid w:val="00E06B16"/>
    <w:rsid w:val="00E2242E"/>
    <w:rsid w:val="00E27FEB"/>
    <w:rsid w:val="00E30585"/>
    <w:rsid w:val="00E42CEF"/>
    <w:rsid w:val="00E47DEC"/>
    <w:rsid w:val="00E54861"/>
    <w:rsid w:val="00E61303"/>
    <w:rsid w:val="00E62AE0"/>
    <w:rsid w:val="00E64F1D"/>
    <w:rsid w:val="00E8607E"/>
    <w:rsid w:val="00E87622"/>
    <w:rsid w:val="00EB1670"/>
    <w:rsid w:val="00ED2823"/>
    <w:rsid w:val="00EE4949"/>
    <w:rsid w:val="00EF2348"/>
    <w:rsid w:val="00EF5DE2"/>
    <w:rsid w:val="00EF61EA"/>
    <w:rsid w:val="00EF7DD7"/>
    <w:rsid w:val="00F03B7D"/>
    <w:rsid w:val="00F24BD1"/>
    <w:rsid w:val="00F27A08"/>
    <w:rsid w:val="00F31F38"/>
    <w:rsid w:val="00F54D5B"/>
    <w:rsid w:val="00F60EF9"/>
    <w:rsid w:val="00F85A11"/>
    <w:rsid w:val="00FA6064"/>
    <w:rsid w:val="00FB5889"/>
    <w:rsid w:val="00FD44C1"/>
    <w:rsid w:val="00FD5716"/>
    <w:rsid w:val="00FE2A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3FD578"/>
  <w15:chartTrackingRefBased/>
  <w15:docId w15:val="{DA735411-2F7F-4390-B067-66F920A31F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line="48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3C44"/>
    <w:rPr>
      <w:rFonts w:ascii="Times New Roman" w:hAnsi="Times New Roman"/>
      <w:sz w:val="24"/>
    </w:rPr>
  </w:style>
  <w:style w:type="paragraph" w:styleId="Heading1">
    <w:name w:val="heading 1"/>
    <w:basedOn w:val="Normal"/>
    <w:next w:val="Normal"/>
    <w:link w:val="Heading1Char"/>
    <w:autoRedefine/>
    <w:uiPriority w:val="9"/>
    <w:qFormat/>
    <w:rsid w:val="008A4400"/>
    <w:pPr>
      <w:keepNext/>
      <w:keepLines/>
      <w:jc w:val="center"/>
      <w:outlineLvl w:val="0"/>
    </w:pPr>
    <w:rPr>
      <w:rFonts w:eastAsiaTheme="majorEastAsia" w:cstheme="majorBidi"/>
      <w:b/>
      <w:bCs/>
      <w:color w:val="000000" w:themeColor="text1"/>
      <w:szCs w:val="28"/>
    </w:rPr>
  </w:style>
  <w:style w:type="paragraph" w:styleId="Heading2">
    <w:name w:val="heading 2"/>
    <w:basedOn w:val="Normal"/>
    <w:next w:val="Normal"/>
    <w:link w:val="Heading2Char"/>
    <w:uiPriority w:val="9"/>
    <w:unhideWhenUsed/>
    <w:qFormat/>
    <w:rsid w:val="007F1483"/>
    <w:pPr>
      <w:keepNext/>
      <w:keepLines/>
      <w:outlineLvl w:val="1"/>
    </w:pPr>
    <w:rPr>
      <w:rFonts w:eastAsiaTheme="majorEastAsia" w:cstheme="majorBidi"/>
      <w:b/>
      <w:bCs/>
      <w:color w:val="000000" w:themeColor="text1"/>
      <w:szCs w:val="26"/>
    </w:rPr>
  </w:style>
  <w:style w:type="paragraph" w:styleId="Heading3">
    <w:name w:val="heading 3"/>
    <w:basedOn w:val="Normal"/>
    <w:next w:val="Normal"/>
    <w:link w:val="Heading3Char"/>
    <w:autoRedefine/>
    <w:uiPriority w:val="9"/>
    <w:unhideWhenUsed/>
    <w:qFormat/>
    <w:rsid w:val="007005F5"/>
    <w:pPr>
      <w:keepNext/>
      <w:keepLines/>
      <w:tabs>
        <w:tab w:val="left" w:pos="720"/>
      </w:tabs>
      <w:outlineLvl w:val="2"/>
    </w:pPr>
    <w:rPr>
      <w:rFonts w:eastAsiaTheme="majorEastAsia" w:cs="Times New Roman"/>
      <w:b/>
      <w:color w:val="0E101A"/>
      <w:szCs w:val="24"/>
    </w:rPr>
  </w:style>
  <w:style w:type="paragraph" w:styleId="Heading4">
    <w:name w:val="heading 4"/>
    <w:basedOn w:val="Normal"/>
    <w:next w:val="Normal"/>
    <w:link w:val="Heading4Char"/>
    <w:uiPriority w:val="9"/>
    <w:unhideWhenUsed/>
    <w:qFormat/>
    <w:rsid w:val="002C6F23"/>
    <w:pPr>
      <w:keepNext/>
      <w:keepLines/>
      <w:ind w:firstLine="720"/>
      <w:outlineLvl w:val="3"/>
    </w:pPr>
    <w:rPr>
      <w:rFonts w:eastAsiaTheme="majorEastAsia" w:cstheme="majorBidi"/>
      <w:b/>
      <w:iCs/>
      <w:color w:val="000000" w:themeColor="text1"/>
    </w:rPr>
  </w:style>
  <w:style w:type="paragraph" w:styleId="Heading5">
    <w:name w:val="heading 5"/>
    <w:basedOn w:val="Normal"/>
    <w:next w:val="Normal"/>
    <w:link w:val="Heading5Char"/>
    <w:uiPriority w:val="9"/>
    <w:semiHidden/>
    <w:unhideWhenUsed/>
    <w:qFormat/>
    <w:rsid w:val="002C6F23"/>
    <w:pPr>
      <w:keepNext/>
      <w:keepLines/>
      <w:ind w:firstLine="720"/>
      <w:outlineLvl w:val="4"/>
    </w:pPr>
    <w:rPr>
      <w:rFonts w:eastAsiaTheme="majorEastAsia" w:cstheme="majorBidi"/>
      <w:b/>
      <w:i/>
      <w:color w:val="000000" w:themeColor="text1"/>
    </w:rPr>
  </w:style>
  <w:style w:type="paragraph" w:styleId="Heading7">
    <w:name w:val="heading 7"/>
    <w:basedOn w:val="Normal"/>
    <w:next w:val="Normal"/>
    <w:link w:val="Heading7Char"/>
    <w:uiPriority w:val="9"/>
    <w:unhideWhenUsed/>
    <w:qFormat/>
    <w:rsid w:val="00C8760B"/>
    <w:pPr>
      <w:keepNext/>
      <w:keepLines/>
      <w:widowControl w:val="0"/>
      <w:autoSpaceDE w:val="0"/>
      <w:autoSpaceDN w:val="0"/>
      <w:jc w:val="center"/>
      <w:outlineLvl w:val="6"/>
    </w:pPr>
    <w:rPr>
      <w:rFonts w:eastAsiaTheme="majorEastAsia" w:cstheme="majorBidi"/>
      <w:iCs/>
      <w:color w:val="000000" w:themeColor="text1"/>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noteText">
    <w:name w:val="footnote text"/>
    <w:basedOn w:val="Normal"/>
    <w:link w:val="FootnoteTextChar"/>
    <w:uiPriority w:val="99"/>
    <w:unhideWhenUsed/>
    <w:rsid w:val="00D30A3B"/>
    <w:pPr>
      <w:spacing w:after="120" w:line="240" w:lineRule="auto"/>
      <w:ind w:firstLine="720"/>
    </w:pPr>
    <w:rPr>
      <w:sz w:val="20"/>
      <w:szCs w:val="20"/>
    </w:rPr>
  </w:style>
  <w:style w:type="character" w:customStyle="1" w:styleId="FootnoteTextChar">
    <w:name w:val="Footnote Text Char"/>
    <w:basedOn w:val="DefaultParagraphFont"/>
    <w:link w:val="FootnoteText"/>
    <w:uiPriority w:val="99"/>
    <w:rsid w:val="00D30A3B"/>
    <w:rPr>
      <w:rFonts w:ascii="Times New Roman" w:hAnsi="Times New Roman"/>
      <w:sz w:val="20"/>
      <w:szCs w:val="20"/>
    </w:rPr>
  </w:style>
  <w:style w:type="paragraph" w:customStyle="1" w:styleId="Footnotesupercript">
    <w:name w:val="Footnote supercript"/>
    <w:basedOn w:val="FootnoteText"/>
    <w:link w:val="FootnotesupercriptChar"/>
    <w:autoRedefine/>
    <w:qFormat/>
    <w:rsid w:val="00D30A3B"/>
  </w:style>
  <w:style w:type="character" w:customStyle="1" w:styleId="FootnotesupercriptChar">
    <w:name w:val="Footnote supercript Char"/>
    <w:basedOn w:val="FootnoteTextChar"/>
    <w:link w:val="Footnotesupercript"/>
    <w:rsid w:val="00D30A3B"/>
    <w:rPr>
      <w:rFonts w:ascii="Times New Roman" w:hAnsi="Times New Roman"/>
      <w:sz w:val="20"/>
      <w:szCs w:val="20"/>
    </w:rPr>
  </w:style>
  <w:style w:type="character" w:styleId="FootnoteReference">
    <w:name w:val="footnote reference"/>
    <w:basedOn w:val="DefaultParagraphFont"/>
    <w:uiPriority w:val="99"/>
    <w:unhideWhenUsed/>
    <w:rsid w:val="001902CC"/>
    <w:rPr>
      <w:vertAlign w:val="superscript"/>
    </w:rPr>
  </w:style>
  <w:style w:type="character" w:customStyle="1" w:styleId="Heading1Char">
    <w:name w:val="Heading 1 Char"/>
    <w:basedOn w:val="DefaultParagraphFont"/>
    <w:link w:val="Heading1"/>
    <w:uiPriority w:val="9"/>
    <w:rsid w:val="008A4400"/>
    <w:rPr>
      <w:rFonts w:ascii="Times New Roman" w:eastAsiaTheme="majorEastAsia" w:hAnsi="Times New Roman" w:cstheme="majorBidi"/>
      <w:b/>
      <w:bCs/>
      <w:color w:val="000000" w:themeColor="text1"/>
      <w:sz w:val="24"/>
      <w:szCs w:val="28"/>
    </w:rPr>
  </w:style>
  <w:style w:type="paragraph" w:styleId="TOC1">
    <w:name w:val="toc 1"/>
    <w:basedOn w:val="Normal"/>
    <w:next w:val="Normal"/>
    <w:autoRedefine/>
    <w:uiPriority w:val="39"/>
    <w:unhideWhenUsed/>
    <w:rsid w:val="00D30A3B"/>
    <w:rPr>
      <w:rFonts w:eastAsia="Times New Roman" w:cs="Times New Roman"/>
      <w:szCs w:val="24"/>
    </w:rPr>
  </w:style>
  <w:style w:type="character" w:customStyle="1" w:styleId="Heading2Char">
    <w:name w:val="Heading 2 Char"/>
    <w:basedOn w:val="DefaultParagraphFont"/>
    <w:link w:val="Heading2"/>
    <w:uiPriority w:val="9"/>
    <w:rsid w:val="007F1483"/>
    <w:rPr>
      <w:rFonts w:ascii="Times New Roman" w:eastAsiaTheme="majorEastAsia" w:hAnsi="Times New Roman" w:cstheme="majorBidi"/>
      <w:b/>
      <w:bCs/>
      <w:color w:val="000000" w:themeColor="text1"/>
      <w:sz w:val="24"/>
      <w:szCs w:val="26"/>
    </w:rPr>
  </w:style>
  <w:style w:type="paragraph" w:customStyle="1" w:styleId="TableParagraph">
    <w:name w:val="Table Paragraph"/>
    <w:basedOn w:val="Normal"/>
    <w:uiPriority w:val="1"/>
    <w:qFormat/>
    <w:rsid w:val="00D30A3B"/>
    <w:pPr>
      <w:widowControl w:val="0"/>
      <w:autoSpaceDE w:val="0"/>
      <w:autoSpaceDN w:val="0"/>
      <w:spacing w:line="240" w:lineRule="auto"/>
      <w:ind w:left="110"/>
    </w:pPr>
    <w:rPr>
      <w:rFonts w:eastAsia="Times New Roman" w:cs="Times New Roman"/>
    </w:rPr>
  </w:style>
  <w:style w:type="character" w:customStyle="1" w:styleId="Heading3Char">
    <w:name w:val="Heading 3 Char"/>
    <w:basedOn w:val="DefaultParagraphFont"/>
    <w:link w:val="Heading3"/>
    <w:uiPriority w:val="9"/>
    <w:rsid w:val="007005F5"/>
    <w:rPr>
      <w:rFonts w:ascii="Times New Roman" w:eastAsiaTheme="majorEastAsia" w:hAnsi="Times New Roman" w:cs="Times New Roman"/>
      <w:b/>
      <w:color w:val="0E101A"/>
      <w:sz w:val="24"/>
      <w:szCs w:val="24"/>
    </w:rPr>
  </w:style>
  <w:style w:type="paragraph" w:styleId="Header">
    <w:name w:val="header"/>
    <w:basedOn w:val="Normal"/>
    <w:link w:val="HeaderChar"/>
    <w:uiPriority w:val="99"/>
    <w:unhideWhenUsed/>
    <w:rsid w:val="00D30A3B"/>
    <w:pPr>
      <w:tabs>
        <w:tab w:val="center" w:pos="4680"/>
        <w:tab w:val="right" w:pos="9360"/>
      </w:tabs>
      <w:spacing w:line="240" w:lineRule="auto"/>
    </w:pPr>
  </w:style>
  <w:style w:type="character" w:customStyle="1" w:styleId="HeaderChar">
    <w:name w:val="Header Char"/>
    <w:basedOn w:val="DefaultParagraphFont"/>
    <w:link w:val="Header"/>
    <w:uiPriority w:val="99"/>
    <w:rsid w:val="00D30A3B"/>
    <w:rPr>
      <w:rFonts w:ascii="Times New Roman" w:hAnsi="Times New Roman"/>
      <w:sz w:val="24"/>
    </w:rPr>
  </w:style>
  <w:style w:type="paragraph" w:styleId="Footer">
    <w:name w:val="footer"/>
    <w:basedOn w:val="Normal"/>
    <w:link w:val="FooterChar"/>
    <w:uiPriority w:val="99"/>
    <w:unhideWhenUsed/>
    <w:rsid w:val="00D30A3B"/>
    <w:pPr>
      <w:tabs>
        <w:tab w:val="center" w:pos="4680"/>
        <w:tab w:val="right" w:pos="9360"/>
      </w:tabs>
      <w:spacing w:line="240" w:lineRule="auto"/>
    </w:pPr>
  </w:style>
  <w:style w:type="character" w:customStyle="1" w:styleId="FooterChar">
    <w:name w:val="Footer Char"/>
    <w:basedOn w:val="DefaultParagraphFont"/>
    <w:link w:val="Footer"/>
    <w:uiPriority w:val="99"/>
    <w:rsid w:val="00D30A3B"/>
    <w:rPr>
      <w:rFonts w:ascii="Times New Roman" w:hAnsi="Times New Roman"/>
      <w:sz w:val="24"/>
    </w:rPr>
  </w:style>
  <w:style w:type="paragraph" w:styleId="BodyText">
    <w:name w:val="Body Text"/>
    <w:basedOn w:val="Normal"/>
    <w:link w:val="BodyTextChar"/>
    <w:uiPriority w:val="1"/>
    <w:qFormat/>
    <w:rsid w:val="00D30A3B"/>
    <w:pPr>
      <w:widowControl w:val="0"/>
      <w:autoSpaceDE w:val="0"/>
      <w:autoSpaceDN w:val="0"/>
      <w:spacing w:line="240" w:lineRule="auto"/>
    </w:pPr>
    <w:rPr>
      <w:rFonts w:eastAsia="Times New Roman" w:cs="Times New Roman"/>
      <w:sz w:val="21"/>
      <w:szCs w:val="21"/>
    </w:rPr>
  </w:style>
  <w:style w:type="character" w:customStyle="1" w:styleId="BodyTextChar">
    <w:name w:val="Body Text Char"/>
    <w:basedOn w:val="DefaultParagraphFont"/>
    <w:link w:val="BodyText"/>
    <w:uiPriority w:val="1"/>
    <w:rsid w:val="00D30A3B"/>
    <w:rPr>
      <w:rFonts w:ascii="Times New Roman" w:eastAsia="Times New Roman" w:hAnsi="Times New Roman" w:cs="Times New Roman"/>
      <w:sz w:val="21"/>
      <w:szCs w:val="21"/>
    </w:rPr>
  </w:style>
  <w:style w:type="paragraph" w:styleId="BalloonText">
    <w:name w:val="Balloon Text"/>
    <w:basedOn w:val="Normal"/>
    <w:link w:val="BalloonTextChar"/>
    <w:uiPriority w:val="99"/>
    <w:semiHidden/>
    <w:unhideWhenUsed/>
    <w:rsid w:val="00D30A3B"/>
    <w:pPr>
      <w:spacing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30A3B"/>
    <w:rPr>
      <w:rFonts w:ascii="Segoe UI" w:hAnsi="Segoe UI" w:cs="Segoe UI"/>
      <w:sz w:val="18"/>
      <w:szCs w:val="18"/>
    </w:rPr>
  </w:style>
  <w:style w:type="table" w:styleId="TableGrid">
    <w:name w:val="Table Grid"/>
    <w:basedOn w:val="TableNormal"/>
    <w:uiPriority w:val="59"/>
    <w:rsid w:val="00D30A3B"/>
    <w:pPr>
      <w:spacing w:line="240" w:lineRule="auto"/>
    </w:pPr>
    <w:rPr>
      <w:rFonts w:eastAsiaTheme="minorEastAsi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D30A3B"/>
    <w:pPr>
      <w:spacing w:line="240" w:lineRule="auto"/>
      <w:ind w:left="720"/>
      <w:contextualSpacing/>
    </w:pPr>
    <w:rPr>
      <w:rFonts w:eastAsia="Times New Roman" w:cs="Times New Roman"/>
      <w:szCs w:val="24"/>
    </w:rPr>
  </w:style>
  <w:style w:type="character" w:customStyle="1" w:styleId="Heading7Char">
    <w:name w:val="Heading 7 Char"/>
    <w:basedOn w:val="DefaultParagraphFont"/>
    <w:link w:val="Heading7"/>
    <w:uiPriority w:val="9"/>
    <w:rsid w:val="00C8760B"/>
    <w:rPr>
      <w:rFonts w:ascii="Times New Roman" w:eastAsiaTheme="majorEastAsia" w:hAnsi="Times New Roman" w:cstheme="majorBidi"/>
      <w:iCs/>
      <w:color w:val="000000" w:themeColor="text1"/>
      <w:sz w:val="24"/>
      <w:lang w:bidi="en-US"/>
    </w:rPr>
  </w:style>
  <w:style w:type="paragraph" w:styleId="TableofAuthorities">
    <w:name w:val="table of authorities"/>
    <w:basedOn w:val="Normal"/>
    <w:next w:val="Normal"/>
    <w:autoRedefine/>
    <w:uiPriority w:val="99"/>
    <w:semiHidden/>
    <w:unhideWhenUsed/>
    <w:rsid w:val="00351262"/>
    <w:pPr>
      <w:widowControl w:val="0"/>
      <w:autoSpaceDE w:val="0"/>
      <w:autoSpaceDN w:val="0"/>
      <w:spacing w:after="180" w:line="240" w:lineRule="auto"/>
      <w:ind w:left="360" w:hanging="360"/>
    </w:pPr>
    <w:rPr>
      <w:rFonts w:eastAsia="Times New Roman" w:cs="Times New Roman"/>
      <w:b/>
    </w:rPr>
  </w:style>
  <w:style w:type="character" w:customStyle="1" w:styleId="Heading4Char">
    <w:name w:val="Heading 4 Char"/>
    <w:basedOn w:val="DefaultParagraphFont"/>
    <w:link w:val="Heading4"/>
    <w:uiPriority w:val="9"/>
    <w:rsid w:val="002C6F23"/>
    <w:rPr>
      <w:rFonts w:ascii="Times New Roman" w:eastAsiaTheme="majorEastAsia" w:hAnsi="Times New Roman" w:cstheme="majorBidi"/>
      <w:b/>
      <w:iCs/>
      <w:color w:val="000000" w:themeColor="text1"/>
      <w:sz w:val="24"/>
    </w:rPr>
  </w:style>
  <w:style w:type="character" w:customStyle="1" w:styleId="Heading5Char">
    <w:name w:val="Heading 5 Char"/>
    <w:basedOn w:val="DefaultParagraphFont"/>
    <w:link w:val="Heading5"/>
    <w:uiPriority w:val="9"/>
    <w:semiHidden/>
    <w:rsid w:val="002C6F23"/>
    <w:rPr>
      <w:rFonts w:ascii="Times New Roman" w:eastAsiaTheme="majorEastAsia" w:hAnsi="Times New Roman" w:cstheme="majorBidi"/>
      <w:b/>
      <w:i/>
      <w:color w:val="000000" w:themeColor="text1"/>
      <w:sz w:val="24"/>
    </w:rPr>
  </w:style>
  <w:style w:type="character" w:styleId="Hyperlink">
    <w:name w:val="Hyperlink"/>
    <w:basedOn w:val="DefaultParagraphFont"/>
    <w:uiPriority w:val="99"/>
    <w:unhideWhenUsed/>
    <w:rsid w:val="00EF61EA"/>
    <w:rPr>
      <w:color w:val="0563C1"/>
      <w:u w:val="single"/>
    </w:rPr>
  </w:style>
  <w:style w:type="character" w:styleId="CommentReference">
    <w:name w:val="annotation reference"/>
    <w:basedOn w:val="DefaultParagraphFont"/>
    <w:uiPriority w:val="99"/>
    <w:semiHidden/>
    <w:unhideWhenUsed/>
    <w:rsid w:val="00EF5DE2"/>
    <w:rPr>
      <w:sz w:val="16"/>
      <w:szCs w:val="16"/>
    </w:rPr>
  </w:style>
  <w:style w:type="paragraph" w:styleId="CommentText">
    <w:name w:val="annotation text"/>
    <w:basedOn w:val="Normal"/>
    <w:link w:val="CommentTextChar"/>
    <w:uiPriority w:val="99"/>
    <w:semiHidden/>
    <w:unhideWhenUsed/>
    <w:rsid w:val="00EF5DE2"/>
    <w:pPr>
      <w:spacing w:line="240" w:lineRule="auto"/>
    </w:pPr>
    <w:rPr>
      <w:sz w:val="20"/>
      <w:szCs w:val="20"/>
    </w:rPr>
  </w:style>
  <w:style w:type="character" w:customStyle="1" w:styleId="CommentTextChar">
    <w:name w:val="Comment Text Char"/>
    <w:basedOn w:val="DefaultParagraphFont"/>
    <w:link w:val="CommentText"/>
    <w:uiPriority w:val="99"/>
    <w:semiHidden/>
    <w:rsid w:val="00EF5DE2"/>
    <w:rPr>
      <w:rFonts w:ascii="Times New Roman" w:hAnsi="Times New Roman"/>
      <w:sz w:val="20"/>
      <w:szCs w:val="20"/>
    </w:rPr>
  </w:style>
  <w:style w:type="paragraph" w:styleId="CommentSubject">
    <w:name w:val="annotation subject"/>
    <w:basedOn w:val="CommentText"/>
    <w:next w:val="CommentText"/>
    <w:link w:val="CommentSubjectChar"/>
    <w:uiPriority w:val="99"/>
    <w:semiHidden/>
    <w:unhideWhenUsed/>
    <w:rsid w:val="00EF5DE2"/>
    <w:rPr>
      <w:b/>
      <w:bCs/>
    </w:rPr>
  </w:style>
  <w:style w:type="character" w:customStyle="1" w:styleId="CommentSubjectChar">
    <w:name w:val="Comment Subject Char"/>
    <w:basedOn w:val="CommentTextChar"/>
    <w:link w:val="CommentSubject"/>
    <w:uiPriority w:val="99"/>
    <w:semiHidden/>
    <w:rsid w:val="00EF5DE2"/>
    <w:rPr>
      <w:rFonts w:ascii="Times New Roman" w:hAnsi="Times New Roman"/>
      <w:b/>
      <w:bCs/>
      <w:sz w:val="20"/>
      <w:szCs w:val="20"/>
    </w:rPr>
  </w:style>
  <w:style w:type="character" w:customStyle="1" w:styleId="UnresolvedMention1">
    <w:name w:val="Unresolved Mention1"/>
    <w:basedOn w:val="DefaultParagraphFont"/>
    <w:uiPriority w:val="99"/>
    <w:semiHidden/>
    <w:unhideWhenUsed/>
    <w:rsid w:val="00CC66BA"/>
    <w:rPr>
      <w:color w:val="605E5C"/>
      <w:shd w:val="clear" w:color="auto" w:fill="E1DFDD"/>
    </w:rPr>
  </w:style>
  <w:style w:type="paragraph" w:customStyle="1" w:styleId="item-home">
    <w:name w:val="item-home"/>
    <w:basedOn w:val="Normal"/>
    <w:rsid w:val="001B17D4"/>
    <w:pPr>
      <w:spacing w:before="100" w:beforeAutospacing="1" w:after="100" w:afterAutospacing="1" w:line="240" w:lineRule="auto"/>
    </w:pPr>
    <w:rPr>
      <w:rFonts w:eastAsia="Times New Roman" w:cs="Times New Roman"/>
      <w:szCs w:val="24"/>
    </w:rPr>
  </w:style>
  <w:style w:type="paragraph" w:customStyle="1" w:styleId="separator">
    <w:name w:val="separator"/>
    <w:basedOn w:val="Normal"/>
    <w:rsid w:val="001B17D4"/>
    <w:pPr>
      <w:spacing w:before="100" w:beforeAutospacing="1" w:after="100" w:afterAutospacing="1" w:line="240" w:lineRule="auto"/>
    </w:pPr>
    <w:rPr>
      <w:rFonts w:eastAsia="Times New Roman" w:cs="Times New Roman"/>
      <w:szCs w:val="24"/>
    </w:rPr>
  </w:style>
  <w:style w:type="paragraph" w:styleId="TOCHeading">
    <w:name w:val="TOC Heading"/>
    <w:basedOn w:val="Heading1"/>
    <w:next w:val="Normal"/>
    <w:uiPriority w:val="39"/>
    <w:unhideWhenUsed/>
    <w:qFormat/>
    <w:rsid w:val="00877EF8"/>
    <w:pPr>
      <w:spacing w:before="240" w:line="259" w:lineRule="auto"/>
      <w:jc w:val="left"/>
      <w:outlineLvl w:val="9"/>
    </w:pPr>
    <w:rPr>
      <w:rFonts w:asciiTheme="majorHAnsi" w:hAnsiTheme="majorHAnsi"/>
      <w:b w:val="0"/>
      <w:bCs w:val="0"/>
      <w:color w:val="B35E06" w:themeColor="accent1" w:themeShade="BF"/>
      <w:sz w:val="32"/>
      <w:szCs w:val="32"/>
    </w:rPr>
  </w:style>
  <w:style w:type="paragraph" w:styleId="TOC2">
    <w:name w:val="toc 2"/>
    <w:basedOn w:val="Normal"/>
    <w:next w:val="Normal"/>
    <w:autoRedefine/>
    <w:uiPriority w:val="39"/>
    <w:unhideWhenUsed/>
    <w:rsid w:val="00877EF8"/>
    <w:pPr>
      <w:tabs>
        <w:tab w:val="right" w:leader="dot" w:pos="9350"/>
      </w:tabs>
      <w:spacing w:after="100"/>
      <w:ind w:left="240" w:firstLine="480"/>
    </w:pPr>
  </w:style>
  <w:style w:type="paragraph" w:styleId="TOC3">
    <w:name w:val="toc 3"/>
    <w:basedOn w:val="Normal"/>
    <w:next w:val="Normal"/>
    <w:autoRedefine/>
    <w:uiPriority w:val="39"/>
    <w:unhideWhenUsed/>
    <w:rsid w:val="00877EF8"/>
    <w:pPr>
      <w:tabs>
        <w:tab w:val="right" w:leader="dot" w:pos="9350"/>
      </w:tabs>
      <w:spacing w:after="100"/>
      <w:ind w:left="480" w:firstLine="960"/>
    </w:pPr>
  </w:style>
  <w:style w:type="paragraph" w:styleId="TOC4">
    <w:name w:val="toc 4"/>
    <w:basedOn w:val="Normal"/>
    <w:next w:val="Normal"/>
    <w:autoRedefine/>
    <w:uiPriority w:val="39"/>
    <w:unhideWhenUsed/>
    <w:rsid w:val="00877EF8"/>
    <w:pPr>
      <w:tabs>
        <w:tab w:val="right" w:leader="dot" w:pos="9350"/>
      </w:tabs>
      <w:spacing w:after="100"/>
      <w:ind w:left="720" w:firstLine="1440"/>
    </w:pPr>
  </w:style>
  <w:style w:type="paragraph" w:styleId="TOC5">
    <w:name w:val="toc 5"/>
    <w:basedOn w:val="Normal"/>
    <w:next w:val="Normal"/>
    <w:autoRedefine/>
    <w:uiPriority w:val="39"/>
    <w:unhideWhenUsed/>
    <w:rsid w:val="00877EF8"/>
    <w:pPr>
      <w:tabs>
        <w:tab w:val="right" w:leader="dot" w:pos="9350"/>
      </w:tabs>
      <w:spacing w:after="100"/>
      <w:ind w:left="960" w:firstLine="1920"/>
    </w:pPr>
  </w:style>
  <w:style w:type="character" w:styleId="FollowedHyperlink">
    <w:name w:val="FollowedHyperlink"/>
    <w:basedOn w:val="DefaultParagraphFont"/>
    <w:uiPriority w:val="99"/>
    <w:semiHidden/>
    <w:unhideWhenUsed/>
    <w:rsid w:val="00531673"/>
    <w:rPr>
      <w:color w:val="B26B02" w:themeColor="followedHyperlink"/>
      <w:u w:val="single"/>
    </w:rPr>
  </w:style>
  <w:style w:type="paragraph" w:styleId="NormalWeb">
    <w:name w:val="Normal (Web)"/>
    <w:basedOn w:val="Normal"/>
    <w:uiPriority w:val="99"/>
    <w:unhideWhenUsed/>
    <w:rsid w:val="007005F5"/>
    <w:pPr>
      <w:spacing w:before="100" w:beforeAutospacing="1" w:after="100" w:afterAutospacing="1" w:line="240" w:lineRule="auto"/>
    </w:pPr>
    <w:rPr>
      <w:rFonts w:eastAsia="Times New Roman" w:cs="Times New Roman"/>
      <w:szCs w:val="24"/>
    </w:rPr>
  </w:style>
  <w:style w:type="character" w:styleId="Strong">
    <w:name w:val="Strong"/>
    <w:basedOn w:val="DefaultParagraphFont"/>
    <w:uiPriority w:val="22"/>
    <w:qFormat/>
    <w:rsid w:val="007005F5"/>
    <w:rPr>
      <w:b/>
      <w:bCs/>
    </w:rPr>
  </w:style>
  <w:style w:type="character" w:styleId="Emphasis">
    <w:name w:val="Emphasis"/>
    <w:basedOn w:val="DefaultParagraphFont"/>
    <w:uiPriority w:val="20"/>
    <w:qFormat/>
    <w:rsid w:val="00A05067"/>
    <w:rPr>
      <w:i/>
      <w:iCs/>
    </w:rPr>
  </w:style>
  <w:style w:type="character" w:styleId="UnresolvedMention">
    <w:name w:val="Unresolved Mention"/>
    <w:basedOn w:val="DefaultParagraphFont"/>
    <w:uiPriority w:val="99"/>
    <w:semiHidden/>
    <w:unhideWhenUsed/>
    <w:rsid w:val="00A0506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29452507">
      <w:bodyDiv w:val="1"/>
      <w:marLeft w:val="0"/>
      <w:marRight w:val="0"/>
      <w:marTop w:val="0"/>
      <w:marBottom w:val="0"/>
      <w:divBdr>
        <w:top w:val="none" w:sz="0" w:space="0" w:color="auto"/>
        <w:left w:val="none" w:sz="0" w:space="0" w:color="auto"/>
        <w:bottom w:val="none" w:sz="0" w:space="0" w:color="auto"/>
        <w:right w:val="none" w:sz="0" w:space="0" w:color="auto"/>
      </w:divBdr>
    </w:div>
    <w:div w:id="1140810359">
      <w:bodyDiv w:val="1"/>
      <w:marLeft w:val="0"/>
      <w:marRight w:val="0"/>
      <w:marTop w:val="0"/>
      <w:marBottom w:val="0"/>
      <w:divBdr>
        <w:top w:val="none" w:sz="0" w:space="0" w:color="auto"/>
        <w:left w:val="none" w:sz="0" w:space="0" w:color="auto"/>
        <w:bottom w:val="none" w:sz="0" w:space="0" w:color="auto"/>
        <w:right w:val="none" w:sz="0" w:space="0" w:color="auto"/>
      </w:divBdr>
    </w:div>
    <w:div w:id="1253049735">
      <w:bodyDiv w:val="1"/>
      <w:marLeft w:val="0"/>
      <w:marRight w:val="0"/>
      <w:marTop w:val="0"/>
      <w:marBottom w:val="0"/>
      <w:divBdr>
        <w:top w:val="none" w:sz="0" w:space="0" w:color="auto"/>
        <w:left w:val="none" w:sz="0" w:space="0" w:color="auto"/>
        <w:bottom w:val="none" w:sz="0" w:space="0" w:color="auto"/>
        <w:right w:val="none" w:sz="0" w:space="0" w:color="auto"/>
      </w:divBdr>
    </w:div>
    <w:div w:id="1402750350">
      <w:bodyDiv w:val="1"/>
      <w:marLeft w:val="0"/>
      <w:marRight w:val="0"/>
      <w:marTop w:val="0"/>
      <w:marBottom w:val="0"/>
      <w:divBdr>
        <w:top w:val="none" w:sz="0" w:space="0" w:color="auto"/>
        <w:left w:val="none" w:sz="0" w:space="0" w:color="auto"/>
        <w:bottom w:val="none" w:sz="0" w:space="0" w:color="auto"/>
        <w:right w:val="none" w:sz="0" w:space="0" w:color="auto"/>
      </w:divBdr>
    </w:div>
    <w:div w:id="191399916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s://www.jets.org/articles/25145"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www.edweek.org/teaching-learning/why-digital-%09citizenship-matters-more-than-ever-in-schools/2023/04"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ebeverly\Dropbox%20(Liberty%20University)\PC%20(2)\Downloads\APA_Professional%20(56).dotm" TargetMode="External"/></Relationships>
</file>

<file path=word/theme/theme1.xml><?xml version="1.0" encoding="utf-8"?>
<a:theme xmlns:a="http://schemas.openxmlformats.org/drawingml/2006/main" name="Office Theme">
  <a:themeElements>
    <a:clrScheme name="Aspect">
      <a:dk1>
        <a:sysClr val="windowText" lastClr="000000"/>
      </a:dk1>
      <a:lt1>
        <a:sysClr val="window" lastClr="FFFFFF"/>
      </a:lt1>
      <a:dk2>
        <a:srgbClr val="323232"/>
      </a:dk2>
      <a:lt2>
        <a:srgbClr val="E3DED1"/>
      </a:lt2>
      <a:accent1>
        <a:srgbClr val="F07F09"/>
      </a:accent1>
      <a:accent2>
        <a:srgbClr val="9F2936"/>
      </a:accent2>
      <a:accent3>
        <a:srgbClr val="1B587C"/>
      </a:accent3>
      <a:accent4>
        <a:srgbClr val="4E8542"/>
      </a:accent4>
      <a:accent5>
        <a:srgbClr val="604878"/>
      </a:accent5>
      <a:accent6>
        <a:srgbClr val="C19859"/>
      </a:accent6>
      <a:hlink>
        <a:srgbClr val="6B9F25"/>
      </a:hlink>
      <a:folHlink>
        <a:srgbClr val="B26B0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E449219-AFAC-4C53-B003-61056B6F9CE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APA_Professional (56)</Template>
  <TotalTime>0</TotalTime>
  <Pages>7</Pages>
  <Words>1567</Words>
  <Characters>8937</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Beverly, Karen Elaine (Curriculum Development)</dc:creator>
  <cp:keywords/>
  <dc:description/>
  <cp:lastModifiedBy>Timothy LaGasse</cp:lastModifiedBy>
  <cp:revision>2</cp:revision>
  <cp:lastPrinted>2020-01-03T23:33:00Z</cp:lastPrinted>
  <dcterms:created xsi:type="dcterms:W3CDTF">2024-06-08T18:50:00Z</dcterms:created>
  <dcterms:modified xsi:type="dcterms:W3CDTF">2024-06-08T18:50:00Z</dcterms:modified>
</cp:coreProperties>
</file>